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F0192" w14:textId="55257F97" w:rsidR="005E3DB1" w:rsidRPr="00CC0016" w:rsidRDefault="2248451C" w:rsidP="2248451C">
      <w:pPr>
        <w:tabs>
          <w:tab w:val="left" w:pos="6379"/>
        </w:tabs>
        <w:ind w:left="-142" w:right="-1" w:firstLine="142"/>
        <w:jc w:val="left"/>
        <w:rPr>
          <w:b/>
          <w:bCs/>
          <w:smallCaps/>
          <w:sz w:val="32"/>
          <w:szCs w:val="32"/>
        </w:rPr>
      </w:pPr>
      <w:bookmarkStart w:id="0" w:name="_GoBack"/>
      <w:bookmarkEnd w:id="0"/>
      <w:r w:rsidRPr="2248451C">
        <w:rPr>
          <w:b/>
          <w:bCs/>
          <w:smallCaps/>
          <w:sz w:val="32"/>
          <w:szCs w:val="32"/>
        </w:rPr>
        <w:t>Pénzügyminisztérium</w:t>
      </w:r>
    </w:p>
    <w:p w14:paraId="5D4F0193" w14:textId="77777777" w:rsidR="005E3DB1" w:rsidRPr="00CC0016" w:rsidRDefault="005E3DB1" w:rsidP="00BD2597">
      <w:pPr>
        <w:ind w:left="-142" w:firstLine="142"/>
      </w:pPr>
    </w:p>
    <w:p w14:paraId="5D4F0194" w14:textId="77777777" w:rsidR="005E3DB1" w:rsidRPr="00CC0016" w:rsidRDefault="005E3DB1" w:rsidP="000556FC">
      <w:pPr>
        <w:pStyle w:val="Cm"/>
        <w:ind w:right="0"/>
      </w:pPr>
    </w:p>
    <w:p w14:paraId="5D4F0195" w14:textId="77777777" w:rsidR="005E3DB1" w:rsidRPr="00CC0016" w:rsidRDefault="005E3DB1" w:rsidP="000556FC">
      <w:pPr>
        <w:pStyle w:val="Cm"/>
        <w:ind w:right="0"/>
      </w:pPr>
    </w:p>
    <w:p w14:paraId="5D4F0197" w14:textId="77777777" w:rsidR="005E3DB1" w:rsidRDefault="005E3DB1" w:rsidP="000556FC">
      <w:pPr>
        <w:pStyle w:val="Cm"/>
        <w:ind w:right="0"/>
      </w:pPr>
    </w:p>
    <w:p w14:paraId="79075E45" w14:textId="77777777" w:rsidR="00171DAF" w:rsidRPr="00CC0016" w:rsidRDefault="00171DAF" w:rsidP="000556FC">
      <w:pPr>
        <w:pStyle w:val="Cm"/>
        <w:ind w:right="0"/>
      </w:pPr>
    </w:p>
    <w:p w14:paraId="5D4F0198" w14:textId="77777777" w:rsidR="005E3DB1" w:rsidRPr="00CC0016" w:rsidRDefault="005E3DB1" w:rsidP="000556FC">
      <w:pPr>
        <w:pStyle w:val="Cm"/>
        <w:ind w:right="0"/>
      </w:pPr>
    </w:p>
    <w:p w14:paraId="5D4F0199" w14:textId="77777777" w:rsidR="008D430E" w:rsidRPr="00BE0A0E" w:rsidRDefault="008D430E" w:rsidP="000556FC">
      <w:pPr>
        <w:pStyle w:val="Cm"/>
        <w:ind w:right="0"/>
        <w:rPr>
          <w:sz w:val="26"/>
          <w:szCs w:val="26"/>
        </w:rPr>
      </w:pPr>
    </w:p>
    <w:p w14:paraId="5D4F019A" w14:textId="77777777" w:rsidR="005E3DB1" w:rsidRPr="00CC0016" w:rsidRDefault="005E3DB1" w:rsidP="000556FC">
      <w:pPr>
        <w:pStyle w:val="Cm"/>
        <w:ind w:right="0"/>
      </w:pPr>
    </w:p>
    <w:p w14:paraId="5D4F019B" w14:textId="77777777" w:rsidR="005E3DB1" w:rsidRPr="00CC0016" w:rsidRDefault="005E3DB1" w:rsidP="000556FC">
      <w:pPr>
        <w:pStyle w:val="Cm"/>
        <w:ind w:right="0"/>
      </w:pPr>
    </w:p>
    <w:p w14:paraId="5D4F019C" w14:textId="77777777" w:rsidR="005E3DB1" w:rsidRPr="00CC0016" w:rsidRDefault="005E3DB1" w:rsidP="000556FC">
      <w:pPr>
        <w:pStyle w:val="Cm"/>
        <w:ind w:right="0"/>
      </w:pPr>
    </w:p>
    <w:p w14:paraId="5D4F019D" w14:textId="77777777" w:rsidR="00F630A3" w:rsidRPr="00CC0016" w:rsidRDefault="00F630A3" w:rsidP="000556FC">
      <w:pPr>
        <w:pStyle w:val="Cm"/>
        <w:ind w:right="0"/>
      </w:pPr>
    </w:p>
    <w:p w14:paraId="5D4F019E" w14:textId="77777777" w:rsidR="000C5968" w:rsidRPr="00CC0016" w:rsidRDefault="000C5968" w:rsidP="000556FC">
      <w:pPr>
        <w:pStyle w:val="Cm"/>
        <w:ind w:right="0"/>
      </w:pPr>
    </w:p>
    <w:p w14:paraId="5D4F019F" w14:textId="77777777" w:rsidR="005E3DB1" w:rsidRPr="00CC0016" w:rsidRDefault="005E3DB1" w:rsidP="000556FC">
      <w:pPr>
        <w:pStyle w:val="Cm"/>
        <w:ind w:right="0"/>
      </w:pPr>
      <w:r w:rsidRPr="00CC0016">
        <w:t>Tájékoztató</w:t>
      </w:r>
      <w:r w:rsidRPr="00164FAC">
        <w:footnoteReference w:customMarkFollows="1" w:id="2"/>
        <w:t>*</w:t>
      </w:r>
    </w:p>
    <w:p w14:paraId="10F9DBE6" w14:textId="4CF7BE61" w:rsidR="0083067D" w:rsidRPr="00BA6869" w:rsidRDefault="2248451C" w:rsidP="2248451C">
      <w:pPr>
        <w:pStyle w:val="Cmsor2"/>
        <w:tabs>
          <w:tab w:val="left" w:pos="2694"/>
        </w:tabs>
        <w:spacing w:before="0" w:after="120"/>
        <w:ind w:right="-1"/>
        <w:rPr>
          <w:i/>
          <w:caps w:val="0"/>
          <w:szCs w:val="26"/>
        </w:rPr>
      </w:pPr>
      <w:r w:rsidRPr="00BA6869">
        <w:rPr>
          <w:i/>
          <w:caps w:val="0"/>
          <w:szCs w:val="26"/>
        </w:rPr>
        <w:t>az államháztartás központi alrendszerének</w:t>
      </w:r>
      <w:r w:rsidR="6D01B43F" w:rsidRPr="00BA6869">
        <w:rPr>
          <w:i/>
          <w:caps w:val="0"/>
          <w:szCs w:val="26"/>
        </w:rPr>
        <w:br/>
      </w:r>
      <w:r w:rsidRPr="00BA6869">
        <w:rPr>
          <w:i/>
          <w:caps w:val="0"/>
          <w:szCs w:val="26"/>
        </w:rPr>
        <w:t>2020. július végi helyzetéről</w:t>
      </w:r>
    </w:p>
    <w:p w14:paraId="5D4F01A0" w14:textId="31227DFC" w:rsidR="00B93477" w:rsidRPr="00623930" w:rsidRDefault="00B93477" w:rsidP="7710508F">
      <w:pPr>
        <w:pStyle w:val="Cmsor2"/>
        <w:tabs>
          <w:tab w:val="left" w:pos="2694"/>
        </w:tabs>
        <w:spacing w:before="0" w:after="120"/>
        <w:ind w:right="-1"/>
        <w:rPr>
          <w:i/>
        </w:rPr>
      </w:pPr>
    </w:p>
    <w:p w14:paraId="5D4F01A1" w14:textId="77777777" w:rsidR="005E3DB1" w:rsidRPr="00275D19" w:rsidRDefault="005E3DB1" w:rsidP="00275D19">
      <w:pPr>
        <w:pStyle w:val="Cmsor2"/>
        <w:tabs>
          <w:tab w:val="left" w:pos="2694"/>
        </w:tabs>
        <w:spacing w:before="0" w:after="120"/>
        <w:ind w:right="-1"/>
        <w:rPr>
          <w:i/>
          <w:caps w:val="0"/>
          <w:szCs w:val="26"/>
        </w:rPr>
      </w:pPr>
    </w:p>
    <w:p w14:paraId="5D4F01A2" w14:textId="77777777" w:rsidR="005E3DB1" w:rsidRPr="00CC0016" w:rsidRDefault="005E3DB1" w:rsidP="000556FC">
      <w:pPr>
        <w:tabs>
          <w:tab w:val="left" w:pos="2694"/>
        </w:tabs>
      </w:pPr>
    </w:p>
    <w:p w14:paraId="5D4F01A3" w14:textId="77777777" w:rsidR="005E3DB1" w:rsidRPr="00CC0016" w:rsidRDefault="005E3DB1" w:rsidP="000556FC">
      <w:pPr>
        <w:pStyle w:val="lfej"/>
        <w:tabs>
          <w:tab w:val="clear" w:pos="4153"/>
          <w:tab w:val="clear" w:pos="8306"/>
          <w:tab w:val="left" w:pos="2694"/>
        </w:tabs>
      </w:pPr>
    </w:p>
    <w:p w14:paraId="5D4F01A4" w14:textId="77777777" w:rsidR="005E3DB1" w:rsidRPr="00CC0016" w:rsidRDefault="005E3DB1" w:rsidP="000556FC">
      <w:pPr>
        <w:tabs>
          <w:tab w:val="left" w:pos="2694"/>
        </w:tabs>
      </w:pPr>
    </w:p>
    <w:p w14:paraId="5D4F01A5" w14:textId="77777777" w:rsidR="005E3DB1" w:rsidRPr="00CC0016" w:rsidRDefault="005E3DB1" w:rsidP="000556FC">
      <w:pPr>
        <w:tabs>
          <w:tab w:val="left" w:pos="2694"/>
        </w:tabs>
      </w:pPr>
    </w:p>
    <w:p w14:paraId="5D4F01A6" w14:textId="77777777" w:rsidR="005E3DB1" w:rsidRPr="00CC0016" w:rsidRDefault="005E3DB1" w:rsidP="000556FC">
      <w:pPr>
        <w:tabs>
          <w:tab w:val="left" w:pos="2694"/>
        </w:tabs>
      </w:pPr>
    </w:p>
    <w:p w14:paraId="5D4F01A7" w14:textId="77777777" w:rsidR="005E3DB1" w:rsidRPr="00CC0016" w:rsidRDefault="005E3DB1" w:rsidP="000556FC"/>
    <w:p w14:paraId="5D4F01A8" w14:textId="77777777" w:rsidR="00771455" w:rsidRPr="00CC0016" w:rsidRDefault="00771455" w:rsidP="000556FC"/>
    <w:p w14:paraId="5D4F01A9" w14:textId="77777777" w:rsidR="00C37774" w:rsidRPr="00CC0016" w:rsidRDefault="00C37774" w:rsidP="000556FC"/>
    <w:p w14:paraId="5D4F01AB" w14:textId="77777777" w:rsidR="00C37774" w:rsidRPr="00CC0016" w:rsidRDefault="00C37774" w:rsidP="000556FC"/>
    <w:p w14:paraId="5D4F01AD" w14:textId="1A8930FE" w:rsidR="007E4053" w:rsidRDefault="00FA7AFF" w:rsidP="2248451C">
      <w:pPr>
        <w:tabs>
          <w:tab w:val="left" w:pos="2694"/>
        </w:tabs>
        <w:jc w:val="center"/>
        <w:rPr>
          <w:b/>
          <w:bCs/>
          <w:sz w:val="22"/>
          <w:szCs w:val="22"/>
        </w:rPr>
      </w:pPr>
      <w:r w:rsidRPr="00994A5F">
        <w:rPr>
          <w:b/>
          <w:bCs/>
          <w:noProof/>
          <w:sz w:val="22"/>
          <w:szCs w:val="22"/>
        </w:rPr>
        <mc:AlternateContent>
          <mc:Choice Requires="wps">
            <w:drawing>
              <wp:anchor distT="0" distB="0" distL="114300" distR="114300" simplePos="0" relativeHeight="251658240" behindDoc="0" locked="0" layoutInCell="1" allowOverlap="1" wp14:anchorId="5D4F0455" wp14:editId="6DDE0D92">
                <wp:simplePos x="0" y="0"/>
                <wp:positionH relativeFrom="column">
                  <wp:posOffset>2336732</wp:posOffset>
                </wp:positionH>
                <wp:positionV relativeFrom="paragraph">
                  <wp:posOffset>980217</wp:posOffset>
                </wp:positionV>
                <wp:extent cx="971550" cy="393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4pt;margin-top:77.2pt;width:76.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D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HtIzGFeD15N5tCFAZx40/eyQ0ncdePEba/XQccKAVBb8k7MDwXBwFK2Gt5oB&#10;Otl4HTO1a20fACEHaBcL8nwsCN95RGGxmmVlCWWjsHVZXabTMt5A6sNhY51/zXWPwqTBFqhHcLJ9&#10;cD6QIfXBJZLXUrClkDIadr26kxZtCWhjGb89ujt1kyo4Kx2OjYjjCnCEO8JeYBtr/a3K8iK9zavJ&#10;cjqfTYplUU6qWTqfpFl1W03Toirul98DwayoO8EYVw9C8YPusuLv6rrvgFExUXlogFyVeRljP2Pv&#10;ToNM4/enIHvhoQ2l6Bs8PzqROtT1lWIQNqk9EXKcJ+f0Y5YhB4d/zEpUQSj8KKCVZs8gAquhSFBP&#10;eDBg0mn7FaMBmq/B7suGWI6RfKNASFVWFKFbo1GUsxwMe7qzOt0higJUgz1G4/TOjx2+MVasO7gp&#10;i4lR+gbE14oojCDMkdVestBgMYL9YxA6+NSOXj+frMUPAAAA//8DAFBLAwQUAAYACAAAACEA64AB&#10;ZN8AAAALAQAADwAAAGRycy9kb3ducmV2LnhtbEyPzU7DMBCE70i8g7VI3KidP6ukcSqE1BNwoEXi&#10;uo3dJGpsh9hpw9uznOC4M6PZb6rtYgd2MVPovVOQrAQw4xqve9cq+DjsHtbAQkSncfDOKPg2Abb1&#10;7U2FpfZX924u+9gyKnGhRAVdjGPJeWg6YzGs/GgceSc/WYx0Ti3XE16p3A48FUJyi72jDx2O5rkz&#10;zXk/WwUoc/31dspeDy+zxMd2EbviUyh1f7c8bYBFs8S/MPziEzrUxHT0s9OBDQoyuaYtkYwiz4FR&#10;okgTUo4K0kRmwOuK/99Q/wAAAP//AwBQSwECLQAUAAYACAAAACEAtoM4kv4AAADhAQAAEwAAAAAA&#10;AAAAAAAAAAAAAAAAW0NvbnRlbnRfVHlwZXNdLnhtbFBLAQItABQABgAIAAAAIQA4/SH/1gAAAJQB&#10;AAALAAAAAAAAAAAAAAAAAC8BAABfcmVscy8ucmVsc1BLAQItABQABgAIAAAAIQCDHuzDewIAAPoE&#10;AAAOAAAAAAAAAAAAAAAAAC4CAABkcnMvZTJvRG9jLnhtbFBLAQItABQABgAIAAAAIQDrgAFk3wAA&#10;AAsBAAAPAAAAAAAAAAAAAAAAANUEAABkcnMvZG93bnJldi54bWxQSwUGAAAAAAQABADzAAAA4QUA&#10;AAAA&#10;" stroked="f"/>
            </w:pict>
          </mc:Fallback>
        </mc:AlternateContent>
      </w:r>
      <w:r w:rsidR="00A67C37" w:rsidRPr="00994A5F">
        <w:rPr>
          <w:b/>
          <w:bCs/>
          <w:sz w:val="22"/>
          <w:szCs w:val="22"/>
        </w:rPr>
        <w:t>20</w:t>
      </w:r>
      <w:r w:rsidR="00C90993">
        <w:rPr>
          <w:b/>
          <w:bCs/>
          <w:sz w:val="22"/>
          <w:szCs w:val="22"/>
        </w:rPr>
        <w:t>20</w:t>
      </w:r>
      <w:r w:rsidR="007E4053" w:rsidRPr="00994A5F">
        <w:rPr>
          <w:b/>
          <w:bCs/>
          <w:sz w:val="22"/>
          <w:szCs w:val="22"/>
        </w:rPr>
        <w:t>.</w:t>
      </w:r>
      <w:r w:rsidR="00F30C75">
        <w:rPr>
          <w:b/>
          <w:bCs/>
          <w:sz w:val="22"/>
          <w:szCs w:val="22"/>
        </w:rPr>
        <w:t xml:space="preserve"> </w:t>
      </w:r>
      <w:r w:rsidR="00EB5F72">
        <w:rPr>
          <w:b/>
          <w:bCs/>
          <w:sz w:val="22"/>
          <w:szCs w:val="22"/>
        </w:rPr>
        <w:t>augusztus</w:t>
      </w:r>
    </w:p>
    <w:p w14:paraId="5839958A" w14:textId="77777777" w:rsidR="00552E0E" w:rsidRPr="00CC0016" w:rsidRDefault="00552E0E" w:rsidP="000556FC">
      <w:pPr>
        <w:tabs>
          <w:tab w:val="left" w:pos="2694"/>
        </w:tabs>
        <w:jc w:val="center"/>
        <w:rPr>
          <w:b/>
          <w:bCs/>
          <w:szCs w:val="28"/>
        </w:rPr>
        <w:sectPr w:rsidR="00552E0E" w:rsidRPr="00CC0016" w:rsidSect="00D46179">
          <w:footerReference w:type="default" r:id="rId12"/>
          <w:footerReference w:type="first" r:id="rId13"/>
          <w:footnotePr>
            <w:numRestart w:val="eachPage"/>
          </w:footnotePr>
          <w:pgSz w:w="11907" w:h="16840" w:code="9"/>
          <w:pgMar w:top="1418" w:right="1418" w:bottom="1418" w:left="1418" w:header="709" w:footer="709" w:gutter="0"/>
          <w:pgNumType w:fmt="numberInDash" w:start="0"/>
          <w:cols w:space="708"/>
          <w:titlePg/>
          <w:docGrid w:linePitch="354"/>
        </w:sectPr>
      </w:pPr>
    </w:p>
    <w:p w14:paraId="5D4F01AE" w14:textId="77777777" w:rsidR="00B93477" w:rsidRDefault="2248451C" w:rsidP="2248451C">
      <w:pPr>
        <w:pStyle w:val="Cmsor4"/>
        <w:jc w:val="center"/>
        <w:rPr>
          <w:caps/>
        </w:rPr>
      </w:pPr>
      <w:r w:rsidRPr="2248451C">
        <w:rPr>
          <w:caps/>
        </w:rPr>
        <w:lastRenderedPageBreak/>
        <w:t>Összefoglalás</w:t>
      </w:r>
    </w:p>
    <w:p w14:paraId="5D4F01AF" w14:textId="77777777" w:rsidR="00841735" w:rsidRPr="00841735" w:rsidRDefault="00841735" w:rsidP="00841735">
      <w:pPr>
        <w:spacing w:after="0"/>
      </w:pPr>
    </w:p>
    <w:p w14:paraId="3728825A" w14:textId="76E7B101" w:rsidR="001076BA" w:rsidRPr="001076BA" w:rsidRDefault="007178B6" w:rsidP="2248451C">
      <w:pPr>
        <w:spacing w:before="100" w:beforeAutospacing="1" w:after="100" w:afterAutospacing="1"/>
        <w:rPr>
          <w:rFonts w:cs="Tahoma"/>
          <w:color w:val="000000" w:themeColor="text1"/>
        </w:rPr>
      </w:pPr>
      <w:r w:rsidRPr="007178B6">
        <w:rPr>
          <w:rFonts w:cs="Tahoma"/>
          <w:color w:val="000000" w:themeColor="text1"/>
        </w:rPr>
        <w:t xml:space="preserve">Bár a gazdasági kilábalás már megkezdődött, a veszélyhelyzet utáni újraindítás a költségvetésből továbbra is komoly forrásokat igényel. A kormány szándéka az, hogy minden segítséget megadjon a magyar vállalkozásoknak, és annyi munkahelyet teremtsen, ahányat a járvány megszüntet. </w:t>
      </w:r>
    </w:p>
    <w:p w14:paraId="281D8B97" w14:textId="77777777" w:rsidR="001076BA" w:rsidRPr="001076BA" w:rsidRDefault="2248451C" w:rsidP="2248451C">
      <w:pPr>
        <w:spacing w:before="100" w:beforeAutospacing="1" w:after="100" w:afterAutospacing="1"/>
        <w:rPr>
          <w:rFonts w:cs="Tahoma"/>
          <w:color w:val="000000" w:themeColor="text1"/>
        </w:rPr>
      </w:pPr>
      <w:r w:rsidRPr="2248451C">
        <w:rPr>
          <w:rFonts w:cs="Tahoma"/>
          <w:color w:val="000000" w:themeColor="text1"/>
        </w:rPr>
        <w:t>A gazdaságvédelmi intézkedések és a védekezési kiadások következtében a központi alrendszer hiánya július végére megközelítette a 2165 milliárd forintot.</w:t>
      </w:r>
    </w:p>
    <w:p w14:paraId="1080F1FB" w14:textId="290FB177" w:rsidR="001076BA" w:rsidRPr="001076BA" w:rsidRDefault="2248451C" w:rsidP="2248451C">
      <w:pPr>
        <w:spacing w:before="100" w:beforeAutospacing="1" w:after="100" w:afterAutospacing="1"/>
        <w:rPr>
          <w:rFonts w:cs="Tahoma"/>
          <w:color w:val="000000" w:themeColor="text1"/>
        </w:rPr>
      </w:pPr>
      <w:r w:rsidRPr="2248451C">
        <w:rPr>
          <w:rFonts w:cs="Tahoma"/>
          <w:color w:val="000000" w:themeColor="text1"/>
        </w:rPr>
        <w:t>2020 első hét hónapjában az államháztartás központi alrendszere 2165,0 milliárd forintos hiánnyal zárt. Ezen belül a központi költségvetés 1841,4 milliárd forintos deficitet, az elkülönített állami pénzalapok 12,7 milliárd forintos többletet, a társadalombiztosítás pénzügyi alapjai pedig 336,3 milliárd forintos hiányt értek el. Az előző év azonos időszakában a központi alrendszer hiánya 352,7 milliárd forintot tett ki. 2020</w:t>
      </w:r>
      <w:r w:rsidR="00042F7E">
        <w:rPr>
          <w:rFonts w:cs="Tahoma"/>
          <w:color w:val="000000" w:themeColor="text1"/>
        </w:rPr>
        <w:t>.</w:t>
      </w:r>
      <w:r w:rsidRPr="2248451C">
        <w:rPr>
          <w:rFonts w:cs="Tahoma"/>
          <w:color w:val="000000" w:themeColor="text1"/>
        </w:rPr>
        <w:t xml:space="preserve"> július hónapjában a központi alrendszer 328,0 milliárd forintos hiánnyal zárt, szemben a 2019.</w:t>
      </w:r>
      <w:r w:rsidR="002126DA">
        <w:rPr>
          <w:rFonts w:cs="Tahoma"/>
          <w:color w:val="000000" w:themeColor="text1"/>
        </w:rPr>
        <w:t> </w:t>
      </w:r>
      <w:r w:rsidRPr="2248451C">
        <w:rPr>
          <w:rFonts w:cs="Tahoma"/>
          <w:color w:val="000000" w:themeColor="text1"/>
        </w:rPr>
        <w:t>évi azonos havi 37,2 milliárd forintos többlettel.</w:t>
      </w:r>
    </w:p>
    <w:p w14:paraId="3DCFE0A8" w14:textId="77777777" w:rsidR="001076BA" w:rsidRPr="001076BA" w:rsidRDefault="2248451C" w:rsidP="2248451C">
      <w:pPr>
        <w:spacing w:before="100" w:beforeAutospacing="1" w:after="100" w:afterAutospacing="1"/>
        <w:rPr>
          <w:rFonts w:cs="Tahoma"/>
          <w:color w:val="000000" w:themeColor="text1"/>
        </w:rPr>
      </w:pPr>
      <w:r w:rsidRPr="2248451C">
        <w:rPr>
          <w:rFonts w:cs="Tahoma"/>
          <w:color w:val="000000" w:themeColor="text1"/>
        </w:rPr>
        <w:t>2020 júliusában nem érkezett uniós bevétel a költségvetésbe, így a 2020. évi első héthavi bevétel összesen 489,5 milliárd forintot tett ki. Ugyanakkor a 2020. évi július végi uniós kiadások megközelítették az 1274,9 milliárd forintot. Elmondható, hogy a járvány elleni védekezéshez szükséges forrásokat – így a szükséges eszközök beszerezésére kiadott több mint 520 milliárd forintot – és a gazdaság újraindításához szükséges forrásokat a kormány teljes mértékben a hazai költségvetésből fedezi.</w:t>
      </w:r>
    </w:p>
    <w:p w14:paraId="6AEA68E4" w14:textId="77777777" w:rsidR="001076BA" w:rsidRPr="001076BA" w:rsidRDefault="2248451C" w:rsidP="2248451C">
      <w:pPr>
        <w:spacing w:before="100" w:beforeAutospacing="1" w:after="100" w:afterAutospacing="1"/>
        <w:rPr>
          <w:rFonts w:cs="Tahoma"/>
          <w:color w:val="000000" w:themeColor="text1"/>
        </w:rPr>
      </w:pPr>
      <w:r w:rsidRPr="2248451C">
        <w:rPr>
          <w:rFonts w:cs="Tahoma"/>
          <w:color w:val="000000" w:themeColor="text1"/>
        </w:rPr>
        <w:t>Emellett a hazai kiadások közül 2020. július végéig kiemelendők a kiemelt közúti projektekre (140,0 milliárd forint), valamint a koronavírus-járvány következtében szükségessé vált versenyképesség-növelő támogatásra (123,1 milliárd forint) fordított források. Ezeken kívül fontos kiadásként megjelennek a Turisztikai fejlesztési célelőirányzatból (81,0 milliárd forint), a közúthálózat fenntartására és működtetésére (68,4 milliárd forint) kiadott források, valamint a Falusi Útalapból (57,0 milliárd forint), a közúthálózat felújítására (37,4 milliárd forint), a Modern Városok Program céljaira (29,1 milliárd forint) kifizetett összegek. Jelentős forrásokat fordított még a költségvetés a nagycsaládosok személygépkocsi-szerzési támogatására (27,0 milliárd forint) is. Sor került továbbá – a veszélyhelyzet során nyújtott kimagasló teljesítményük elismeréseként – az egészségügyi és egészségügyben dolgozók egyszeri rendkívüli juttatásának a kifizetésére is, melyre 101,3 milliárd forintot biztosított a költségvetés.</w:t>
      </w:r>
    </w:p>
    <w:p w14:paraId="5D4F01B7" w14:textId="590F53F7" w:rsidR="000D0735" w:rsidRDefault="2248451C" w:rsidP="002E4237">
      <w:pPr>
        <w:keepNext/>
      </w:pPr>
      <w:r>
        <w:lastRenderedPageBreak/>
        <w:t>Az államháztartás központi alrendszerének 2020. július végi főbb pénzforgalmi adatai a következők:</w:t>
      </w:r>
    </w:p>
    <w:p w14:paraId="23976907" w14:textId="47BB2920" w:rsidR="00FB368E" w:rsidRDefault="00D97B50" w:rsidP="002E4237">
      <w:pPr>
        <w:keepNext/>
      </w:pPr>
      <w:r>
        <w:rPr>
          <w:noProof/>
        </w:rPr>
        <w:drawing>
          <wp:inline distT="0" distB="0" distL="0" distR="0" wp14:anchorId="722593C1" wp14:editId="322780CF">
            <wp:extent cx="5940425" cy="4095115"/>
            <wp:effectExtent l="0" t="0" r="3175" b="63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yenleg.png"/>
                    <pic:cNvPicPr/>
                  </pic:nvPicPr>
                  <pic:blipFill>
                    <a:blip r:embed="rId14">
                      <a:extLst>
                        <a:ext uri="{28A0092B-C50C-407E-A947-70E740481C1C}">
                          <a14:useLocalDpi xmlns:a14="http://schemas.microsoft.com/office/drawing/2010/main" val="0"/>
                        </a:ext>
                      </a:extLst>
                    </a:blip>
                    <a:stretch>
                      <a:fillRect/>
                    </a:stretch>
                  </pic:blipFill>
                  <pic:spPr>
                    <a:xfrm>
                      <a:off x="0" y="0"/>
                      <a:ext cx="5940425" cy="4095115"/>
                    </a:xfrm>
                    <a:prstGeom prst="rect">
                      <a:avLst/>
                    </a:prstGeom>
                  </pic:spPr>
                </pic:pic>
              </a:graphicData>
            </a:graphic>
          </wp:inline>
        </w:drawing>
      </w:r>
    </w:p>
    <w:p w14:paraId="210A061C" w14:textId="77777777" w:rsidR="00D97B50" w:rsidRDefault="00D97B50" w:rsidP="002E4237">
      <w:pPr>
        <w:keepNext/>
      </w:pPr>
    </w:p>
    <w:tbl>
      <w:tblPr>
        <w:tblW w:w="9623" w:type="dxa"/>
        <w:tblInd w:w="55" w:type="dxa"/>
        <w:tblCellMar>
          <w:left w:w="70" w:type="dxa"/>
          <w:right w:w="70" w:type="dxa"/>
        </w:tblCellMar>
        <w:tblLook w:val="04A0" w:firstRow="1" w:lastRow="0" w:firstColumn="1" w:lastColumn="0" w:noHBand="0" w:noVBand="1"/>
      </w:tblPr>
      <w:tblGrid>
        <w:gridCol w:w="1841"/>
        <w:gridCol w:w="1180"/>
        <w:gridCol w:w="1180"/>
        <w:gridCol w:w="1020"/>
        <w:gridCol w:w="1180"/>
        <w:gridCol w:w="1180"/>
        <w:gridCol w:w="1042"/>
        <w:gridCol w:w="1000"/>
      </w:tblGrid>
      <w:tr w:rsidR="001F6AFC" w:rsidRPr="001F6AFC" w14:paraId="47A75E7E" w14:textId="77777777" w:rsidTr="2248451C">
        <w:trPr>
          <w:trHeight w:val="1440"/>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6A4DD" w14:textId="77777777" w:rsidR="001F6AFC" w:rsidRPr="001F6AFC" w:rsidRDefault="2248451C" w:rsidP="2248451C">
            <w:pPr>
              <w:rPr>
                <w:sz w:val="18"/>
                <w:szCs w:val="18"/>
              </w:rPr>
            </w:pPr>
            <w:r w:rsidRPr="2248451C">
              <w:rPr>
                <w:sz w:val="18"/>
                <w:szCs w:val="18"/>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ACF87C8" w14:textId="77777777" w:rsidR="001F6AFC" w:rsidRPr="001F6AFC" w:rsidRDefault="2248451C" w:rsidP="2248451C">
            <w:pPr>
              <w:spacing w:after="0"/>
              <w:jc w:val="center"/>
              <w:rPr>
                <w:sz w:val="18"/>
                <w:szCs w:val="18"/>
              </w:rPr>
            </w:pPr>
            <w:r w:rsidRPr="2248451C">
              <w:rPr>
                <w:sz w:val="18"/>
                <w:szCs w:val="18"/>
              </w:rPr>
              <w:t xml:space="preserve">2019. évi előzetes </w:t>
            </w:r>
            <w:r w:rsidR="001F6AFC">
              <w:br/>
            </w:r>
            <w:r w:rsidRPr="2248451C">
              <w:rPr>
                <w:sz w:val="18"/>
                <w:szCs w:val="18"/>
              </w:rPr>
              <w:t>tény</w:t>
            </w:r>
            <w:r w:rsidR="001F6AFC">
              <w:br/>
            </w:r>
            <w:r w:rsidRPr="2248451C">
              <w:rPr>
                <w:sz w:val="18"/>
                <w:szCs w:val="18"/>
              </w:rPr>
              <w:t>milliárd forintban</w:t>
            </w:r>
            <w:r w:rsidR="001F6AFC">
              <w:br/>
            </w:r>
            <w:r w:rsidRPr="2248451C">
              <w:rPr>
                <w:sz w:val="18"/>
                <w:szCs w:val="18"/>
              </w:rPr>
              <w:t>(1)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698C0CD" w14:textId="77777777" w:rsidR="001F6AFC" w:rsidRPr="001F6AFC" w:rsidRDefault="2248451C" w:rsidP="2248451C">
            <w:pPr>
              <w:spacing w:after="0"/>
              <w:jc w:val="center"/>
              <w:rPr>
                <w:sz w:val="18"/>
                <w:szCs w:val="18"/>
              </w:rPr>
            </w:pPr>
            <w:r w:rsidRPr="2248451C">
              <w:rPr>
                <w:sz w:val="18"/>
                <w:szCs w:val="18"/>
              </w:rPr>
              <w:t>2019. I-VII. hó tény</w:t>
            </w:r>
            <w:r w:rsidR="001F6AFC">
              <w:br/>
            </w:r>
            <w:r w:rsidRPr="2248451C">
              <w:rPr>
                <w:sz w:val="18"/>
                <w:szCs w:val="18"/>
              </w:rPr>
              <w:t>milliárd forintban</w:t>
            </w:r>
            <w:r w:rsidR="001F6AFC">
              <w:br/>
            </w:r>
            <w:r w:rsidRPr="2248451C">
              <w:rPr>
                <w:sz w:val="18"/>
                <w:szCs w:val="18"/>
              </w:rPr>
              <w:t>(2)</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D293457" w14:textId="77777777" w:rsidR="001F6AFC" w:rsidRPr="001F6AFC" w:rsidRDefault="2248451C" w:rsidP="2248451C">
            <w:pPr>
              <w:spacing w:after="0"/>
              <w:jc w:val="center"/>
              <w:rPr>
                <w:sz w:val="18"/>
                <w:szCs w:val="18"/>
              </w:rPr>
            </w:pPr>
            <w:r w:rsidRPr="2248451C">
              <w:rPr>
                <w:sz w:val="18"/>
                <w:szCs w:val="18"/>
              </w:rPr>
              <w:t>éves előzetes tény=100%</w:t>
            </w:r>
            <w:r w:rsidR="001F6AFC">
              <w:br/>
            </w:r>
            <w:r w:rsidRPr="2248451C">
              <w:rPr>
                <w:sz w:val="18"/>
                <w:szCs w:val="18"/>
              </w:rPr>
              <w:t>Index (%)</w:t>
            </w:r>
            <w:r w:rsidR="001F6AFC">
              <w:br/>
            </w:r>
            <w:r w:rsidRPr="2248451C">
              <w:rPr>
                <w:sz w:val="18"/>
                <w:szCs w:val="18"/>
              </w:rPr>
              <w:t>(2/1)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0C9CC77" w14:textId="77777777" w:rsidR="001F6AFC" w:rsidRPr="001F6AFC" w:rsidRDefault="2248451C" w:rsidP="2248451C">
            <w:pPr>
              <w:spacing w:after="0"/>
              <w:jc w:val="center"/>
              <w:rPr>
                <w:sz w:val="18"/>
                <w:szCs w:val="18"/>
              </w:rPr>
            </w:pPr>
            <w:r w:rsidRPr="2248451C">
              <w:rPr>
                <w:sz w:val="18"/>
                <w:szCs w:val="18"/>
              </w:rPr>
              <w:t>2020. évi törvényi előirányzat</w:t>
            </w:r>
            <w:r w:rsidR="001F6AFC">
              <w:br/>
            </w:r>
            <w:r w:rsidRPr="2248451C">
              <w:rPr>
                <w:sz w:val="18"/>
                <w:szCs w:val="18"/>
              </w:rPr>
              <w:t>milliárd forintban</w:t>
            </w:r>
            <w:r w:rsidR="001F6AFC">
              <w:br/>
            </w:r>
            <w:r w:rsidRPr="2248451C">
              <w:rPr>
                <w:sz w:val="18"/>
                <w:szCs w:val="18"/>
              </w:rPr>
              <w:t>(3)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8B5C96C" w14:textId="77777777" w:rsidR="001F6AFC" w:rsidRPr="001F6AFC" w:rsidRDefault="2248451C" w:rsidP="2248451C">
            <w:pPr>
              <w:spacing w:after="0"/>
              <w:jc w:val="center"/>
              <w:rPr>
                <w:sz w:val="18"/>
                <w:szCs w:val="18"/>
              </w:rPr>
            </w:pPr>
            <w:r w:rsidRPr="2248451C">
              <w:rPr>
                <w:sz w:val="18"/>
                <w:szCs w:val="18"/>
              </w:rPr>
              <w:t>2020. I-VII. hó tény</w:t>
            </w:r>
            <w:r w:rsidR="001F6AFC">
              <w:br/>
            </w:r>
            <w:r w:rsidRPr="2248451C">
              <w:rPr>
                <w:sz w:val="18"/>
                <w:szCs w:val="18"/>
              </w:rPr>
              <w:t>milliárd forintban</w:t>
            </w:r>
            <w:r w:rsidR="001F6AFC">
              <w:br/>
            </w:r>
            <w:r w:rsidRPr="2248451C">
              <w:rPr>
                <w:sz w:val="18"/>
                <w:szCs w:val="18"/>
              </w:rPr>
              <w:t>(4)</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10FD060F" w14:textId="77777777" w:rsidR="001F6AFC" w:rsidRPr="001F6AFC" w:rsidRDefault="2248451C" w:rsidP="2248451C">
            <w:pPr>
              <w:spacing w:after="0"/>
              <w:jc w:val="center"/>
              <w:rPr>
                <w:sz w:val="18"/>
                <w:szCs w:val="18"/>
              </w:rPr>
            </w:pPr>
            <w:r w:rsidRPr="2248451C">
              <w:rPr>
                <w:sz w:val="18"/>
                <w:szCs w:val="18"/>
              </w:rPr>
              <w:t>előirányzat=</w:t>
            </w:r>
            <w:r w:rsidR="001F6AFC">
              <w:br/>
            </w:r>
            <w:r w:rsidRPr="2248451C">
              <w:rPr>
                <w:sz w:val="18"/>
                <w:szCs w:val="18"/>
              </w:rPr>
              <w:t>100%</w:t>
            </w:r>
            <w:r w:rsidR="001F6AFC">
              <w:br/>
            </w:r>
            <w:r w:rsidRPr="2248451C">
              <w:rPr>
                <w:sz w:val="18"/>
                <w:szCs w:val="18"/>
              </w:rPr>
              <w:t>Index (%)</w:t>
            </w:r>
            <w:r w:rsidR="001F6AFC">
              <w:br/>
            </w:r>
            <w:r w:rsidRPr="2248451C">
              <w:rPr>
                <w:sz w:val="18"/>
                <w:szCs w:val="18"/>
              </w:rPr>
              <w:t>(4/3)</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5DE2E69" w14:textId="77777777" w:rsidR="001F6AFC" w:rsidRPr="001F6AFC" w:rsidRDefault="2248451C" w:rsidP="2248451C">
            <w:pPr>
              <w:spacing w:after="0"/>
              <w:jc w:val="center"/>
              <w:rPr>
                <w:sz w:val="18"/>
                <w:szCs w:val="18"/>
              </w:rPr>
            </w:pPr>
            <w:r w:rsidRPr="2248451C">
              <w:rPr>
                <w:sz w:val="18"/>
                <w:szCs w:val="18"/>
              </w:rPr>
              <w:t>előző év=</w:t>
            </w:r>
            <w:r w:rsidR="001F6AFC">
              <w:br/>
            </w:r>
            <w:r w:rsidRPr="2248451C">
              <w:rPr>
                <w:sz w:val="18"/>
                <w:szCs w:val="18"/>
              </w:rPr>
              <w:t>100%</w:t>
            </w:r>
            <w:r w:rsidR="001F6AFC">
              <w:br/>
            </w:r>
            <w:r w:rsidRPr="2248451C">
              <w:rPr>
                <w:sz w:val="18"/>
                <w:szCs w:val="18"/>
              </w:rPr>
              <w:t>Index (%)</w:t>
            </w:r>
            <w:r w:rsidR="001F6AFC">
              <w:br/>
            </w:r>
            <w:r w:rsidRPr="2248451C">
              <w:rPr>
                <w:sz w:val="18"/>
                <w:szCs w:val="18"/>
              </w:rPr>
              <w:t>(4/2)</w:t>
            </w:r>
          </w:p>
        </w:tc>
      </w:tr>
      <w:tr w:rsidR="001F6AFC" w:rsidRPr="001F6AFC" w14:paraId="791EA859" w14:textId="77777777" w:rsidTr="2248451C">
        <w:trPr>
          <w:trHeight w:val="720"/>
        </w:trPr>
        <w:tc>
          <w:tcPr>
            <w:tcW w:w="1841" w:type="dxa"/>
            <w:tcBorders>
              <w:top w:val="nil"/>
              <w:left w:val="single" w:sz="4" w:space="0" w:color="auto"/>
              <w:bottom w:val="single" w:sz="4" w:space="0" w:color="auto"/>
              <w:right w:val="single" w:sz="4" w:space="0" w:color="auto"/>
            </w:tcBorders>
            <w:shd w:val="clear" w:color="auto" w:fill="auto"/>
            <w:vAlign w:val="center"/>
            <w:hideMark/>
          </w:tcPr>
          <w:p w14:paraId="7AE0D446" w14:textId="77777777" w:rsidR="001F6AFC" w:rsidRPr="001F6AFC" w:rsidRDefault="2248451C" w:rsidP="2248451C">
            <w:pPr>
              <w:spacing w:after="0"/>
              <w:jc w:val="left"/>
              <w:rPr>
                <w:b/>
                <w:bCs/>
                <w:sz w:val="18"/>
                <w:szCs w:val="18"/>
              </w:rPr>
            </w:pPr>
            <w:r w:rsidRPr="2248451C">
              <w:rPr>
                <w:b/>
                <w:bCs/>
                <w:sz w:val="18"/>
                <w:szCs w:val="18"/>
              </w:rPr>
              <w:t>Központi költségvetés egyenlege</w:t>
            </w:r>
          </w:p>
        </w:tc>
        <w:tc>
          <w:tcPr>
            <w:tcW w:w="1180" w:type="dxa"/>
            <w:tcBorders>
              <w:top w:val="nil"/>
              <w:left w:val="nil"/>
              <w:bottom w:val="single" w:sz="4" w:space="0" w:color="auto"/>
              <w:right w:val="single" w:sz="4" w:space="0" w:color="auto"/>
            </w:tcBorders>
            <w:shd w:val="clear" w:color="auto" w:fill="auto"/>
            <w:noWrap/>
            <w:vAlign w:val="bottom"/>
            <w:hideMark/>
          </w:tcPr>
          <w:p w14:paraId="1E3C6CBB" w14:textId="77777777" w:rsidR="001F6AFC" w:rsidRPr="001F6AFC" w:rsidRDefault="2248451C" w:rsidP="2248451C">
            <w:pPr>
              <w:spacing w:after="0"/>
              <w:jc w:val="right"/>
              <w:rPr>
                <w:b/>
                <w:bCs/>
                <w:sz w:val="18"/>
                <w:szCs w:val="18"/>
              </w:rPr>
            </w:pPr>
            <w:r w:rsidRPr="2248451C">
              <w:rPr>
                <w:b/>
                <w:bCs/>
                <w:sz w:val="18"/>
                <w:szCs w:val="18"/>
              </w:rPr>
              <w:t xml:space="preserve">-1 023,8 </w:t>
            </w:r>
          </w:p>
        </w:tc>
        <w:tc>
          <w:tcPr>
            <w:tcW w:w="1180" w:type="dxa"/>
            <w:tcBorders>
              <w:top w:val="nil"/>
              <w:left w:val="nil"/>
              <w:bottom w:val="single" w:sz="4" w:space="0" w:color="auto"/>
              <w:right w:val="single" w:sz="4" w:space="0" w:color="auto"/>
            </w:tcBorders>
            <w:shd w:val="clear" w:color="auto" w:fill="auto"/>
            <w:noWrap/>
            <w:vAlign w:val="bottom"/>
            <w:hideMark/>
          </w:tcPr>
          <w:p w14:paraId="0F23F99C" w14:textId="77777777" w:rsidR="001F6AFC" w:rsidRPr="001F6AFC" w:rsidRDefault="2248451C" w:rsidP="2248451C">
            <w:pPr>
              <w:spacing w:after="0"/>
              <w:jc w:val="right"/>
              <w:rPr>
                <w:b/>
                <w:bCs/>
                <w:sz w:val="18"/>
                <w:szCs w:val="18"/>
              </w:rPr>
            </w:pPr>
            <w:r w:rsidRPr="2248451C">
              <w:rPr>
                <w:b/>
                <w:bCs/>
                <w:sz w:val="18"/>
                <w:szCs w:val="18"/>
              </w:rPr>
              <w:t xml:space="preserve">-446,7 </w:t>
            </w:r>
          </w:p>
        </w:tc>
        <w:tc>
          <w:tcPr>
            <w:tcW w:w="1020" w:type="dxa"/>
            <w:tcBorders>
              <w:top w:val="nil"/>
              <w:left w:val="nil"/>
              <w:bottom w:val="single" w:sz="4" w:space="0" w:color="auto"/>
              <w:right w:val="single" w:sz="4" w:space="0" w:color="auto"/>
            </w:tcBorders>
            <w:shd w:val="clear" w:color="auto" w:fill="auto"/>
            <w:noWrap/>
            <w:vAlign w:val="bottom"/>
            <w:hideMark/>
          </w:tcPr>
          <w:p w14:paraId="722B8792" w14:textId="77777777" w:rsidR="001F6AFC" w:rsidRPr="001F6AFC" w:rsidRDefault="2248451C" w:rsidP="2248451C">
            <w:pPr>
              <w:spacing w:after="0"/>
              <w:jc w:val="right"/>
              <w:rPr>
                <w:sz w:val="18"/>
                <w:szCs w:val="18"/>
              </w:rPr>
            </w:pPr>
            <w:r w:rsidRPr="2248451C">
              <w:rPr>
                <w:sz w:val="18"/>
                <w:szCs w:val="18"/>
              </w:rPr>
              <w:t xml:space="preserve">43,6 </w:t>
            </w:r>
          </w:p>
        </w:tc>
        <w:tc>
          <w:tcPr>
            <w:tcW w:w="1180" w:type="dxa"/>
            <w:tcBorders>
              <w:top w:val="nil"/>
              <w:left w:val="nil"/>
              <w:bottom w:val="single" w:sz="4" w:space="0" w:color="auto"/>
              <w:right w:val="single" w:sz="4" w:space="0" w:color="auto"/>
            </w:tcBorders>
            <w:shd w:val="clear" w:color="auto" w:fill="auto"/>
            <w:noWrap/>
            <w:vAlign w:val="bottom"/>
            <w:hideMark/>
          </w:tcPr>
          <w:p w14:paraId="0AFCEB32" w14:textId="77777777" w:rsidR="001F6AFC" w:rsidRPr="001F6AFC" w:rsidRDefault="2248451C" w:rsidP="2248451C">
            <w:pPr>
              <w:spacing w:after="0"/>
              <w:jc w:val="right"/>
              <w:rPr>
                <w:b/>
                <w:bCs/>
                <w:sz w:val="18"/>
                <w:szCs w:val="18"/>
              </w:rPr>
            </w:pPr>
            <w:r w:rsidRPr="2248451C">
              <w:rPr>
                <w:b/>
                <w:bCs/>
                <w:sz w:val="18"/>
                <w:szCs w:val="18"/>
              </w:rPr>
              <w:t xml:space="preserve">-359,0 </w:t>
            </w:r>
          </w:p>
        </w:tc>
        <w:tc>
          <w:tcPr>
            <w:tcW w:w="1180" w:type="dxa"/>
            <w:tcBorders>
              <w:top w:val="nil"/>
              <w:left w:val="nil"/>
              <w:bottom w:val="single" w:sz="4" w:space="0" w:color="auto"/>
              <w:right w:val="single" w:sz="4" w:space="0" w:color="auto"/>
            </w:tcBorders>
            <w:shd w:val="clear" w:color="auto" w:fill="auto"/>
            <w:noWrap/>
            <w:vAlign w:val="bottom"/>
            <w:hideMark/>
          </w:tcPr>
          <w:p w14:paraId="23D79A15" w14:textId="77777777" w:rsidR="001F6AFC" w:rsidRPr="001F6AFC" w:rsidRDefault="2248451C" w:rsidP="2248451C">
            <w:pPr>
              <w:spacing w:after="0"/>
              <w:jc w:val="right"/>
              <w:rPr>
                <w:b/>
                <w:bCs/>
                <w:sz w:val="18"/>
                <w:szCs w:val="18"/>
              </w:rPr>
            </w:pPr>
            <w:r w:rsidRPr="2248451C">
              <w:rPr>
                <w:b/>
                <w:bCs/>
                <w:sz w:val="18"/>
                <w:szCs w:val="18"/>
              </w:rPr>
              <w:t xml:space="preserve">-1 841,4 </w:t>
            </w:r>
          </w:p>
        </w:tc>
        <w:tc>
          <w:tcPr>
            <w:tcW w:w="1042" w:type="dxa"/>
            <w:tcBorders>
              <w:top w:val="nil"/>
              <w:left w:val="nil"/>
              <w:bottom w:val="single" w:sz="4" w:space="0" w:color="auto"/>
              <w:right w:val="single" w:sz="4" w:space="0" w:color="auto"/>
            </w:tcBorders>
            <w:shd w:val="clear" w:color="auto" w:fill="auto"/>
            <w:noWrap/>
            <w:vAlign w:val="bottom"/>
            <w:hideMark/>
          </w:tcPr>
          <w:p w14:paraId="213EE4F5" w14:textId="77777777" w:rsidR="001F6AFC" w:rsidRPr="001F6AFC" w:rsidRDefault="2248451C" w:rsidP="2248451C">
            <w:pPr>
              <w:spacing w:after="0"/>
              <w:jc w:val="right"/>
              <w:rPr>
                <w:sz w:val="18"/>
                <w:szCs w:val="18"/>
              </w:rPr>
            </w:pPr>
            <w:r w:rsidRPr="2248451C">
              <w:rPr>
                <w:sz w:val="18"/>
                <w:szCs w:val="18"/>
              </w:rPr>
              <w:t xml:space="preserve">512,9 </w:t>
            </w:r>
          </w:p>
        </w:tc>
        <w:tc>
          <w:tcPr>
            <w:tcW w:w="1000" w:type="dxa"/>
            <w:tcBorders>
              <w:top w:val="nil"/>
              <w:left w:val="nil"/>
              <w:bottom w:val="single" w:sz="4" w:space="0" w:color="auto"/>
              <w:right w:val="single" w:sz="4" w:space="0" w:color="auto"/>
            </w:tcBorders>
            <w:shd w:val="clear" w:color="auto" w:fill="auto"/>
            <w:noWrap/>
            <w:vAlign w:val="bottom"/>
            <w:hideMark/>
          </w:tcPr>
          <w:p w14:paraId="04E24FDE" w14:textId="77777777" w:rsidR="001F6AFC" w:rsidRPr="001F6AFC" w:rsidRDefault="2248451C" w:rsidP="2248451C">
            <w:pPr>
              <w:spacing w:after="0"/>
              <w:jc w:val="right"/>
              <w:rPr>
                <w:sz w:val="18"/>
                <w:szCs w:val="18"/>
              </w:rPr>
            </w:pPr>
            <w:r w:rsidRPr="2248451C">
              <w:rPr>
                <w:sz w:val="18"/>
                <w:szCs w:val="18"/>
              </w:rPr>
              <w:t xml:space="preserve">412,2 </w:t>
            </w:r>
          </w:p>
        </w:tc>
      </w:tr>
      <w:tr w:rsidR="001F6AFC" w:rsidRPr="001F6AFC" w14:paraId="78173ED1" w14:textId="77777777" w:rsidTr="2248451C">
        <w:trPr>
          <w:trHeight w:val="300"/>
        </w:trPr>
        <w:tc>
          <w:tcPr>
            <w:tcW w:w="1841" w:type="dxa"/>
            <w:tcBorders>
              <w:top w:val="nil"/>
              <w:left w:val="single" w:sz="4" w:space="0" w:color="auto"/>
              <w:bottom w:val="single" w:sz="4" w:space="0" w:color="auto"/>
              <w:right w:val="single" w:sz="4" w:space="0" w:color="auto"/>
            </w:tcBorders>
            <w:shd w:val="clear" w:color="auto" w:fill="auto"/>
            <w:vAlign w:val="bottom"/>
            <w:hideMark/>
          </w:tcPr>
          <w:p w14:paraId="282D6115" w14:textId="77777777" w:rsidR="001F6AFC" w:rsidRPr="001F6AFC" w:rsidRDefault="2248451C" w:rsidP="2248451C">
            <w:pPr>
              <w:spacing w:after="0"/>
              <w:jc w:val="right"/>
              <w:rPr>
                <w:sz w:val="18"/>
                <w:szCs w:val="18"/>
              </w:rPr>
            </w:pPr>
            <w:r w:rsidRPr="2248451C">
              <w:rPr>
                <w:sz w:val="18"/>
                <w:szCs w:val="18"/>
              </w:rPr>
              <w:t>bevétel:</w:t>
            </w:r>
          </w:p>
        </w:tc>
        <w:tc>
          <w:tcPr>
            <w:tcW w:w="1180" w:type="dxa"/>
            <w:tcBorders>
              <w:top w:val="nil"/>
              <w:left w:val="nil"/>
              <w:bottom w:val="single" w:sz="4" w:space="0" w:color="auto"/>
              <w:right w:val="single" w:sz="4" w:space="0" w:color="auto"/>
            </w:tcBorders>
            <w:shd w:val="clear" w:color="auto" w:fill="auto"/>
            <w:noWrap/>
            <w:vAlign w:val="bottom"/>
            <w:hideMark/>
          </w:tcPr>
          <w:p w14:paraId="6FF23B1E" w14:textId="77777777" w:rsidR="001F6AFC" w:rsidRPr="001F6AFC" w:rsidRDefault="2248451C" w:rsidP="2248451C">
            <w:pPr>
              <w:spacing w:after="0"/>
              <w:jc w:val="right"/>
              <w:rPr>
                <w:sz w:val="18"/>
                <w:szCs w:val="18"/>
              </w:rPr>
            </w:pPr>
            <w:r w:rsidRPr="2248451C">
              <w:rPr>
                <w:sz w:val="18"/>
                <w:szCs w:val="18"/>
              </w:rPr>
              <w:t xml:space="preserve">14 965,1 </w:t>
            </w:r>
          </w:p>
        </w:tc>
        <w:tc>
          <w:tcPr>
            <w:tcW w:w="1180" w:type="dxa"/>
            <w:tcBorders>
              <w:top w:val="nil"/>
              <w:left w:val="nil"/>
              <w:bottom w:val="single" w:sz="4" w:space="0" w:color="auto"/>
              <w:right w:val="single" w:sz="4" w:space="0" w:color="auto"/>
            </w:tcBorders>
            <w:shd w:val="clear" w:color="auto" w:fill="auto"/>
            <w:noWrap/>
            <w:vAlign w:val="bottom"/>
            <w:hideMark/>
          </w:tcPr>
          <w:p w14:paraId="3AD2DB98" w14:textId="77777777" w:rsidR="001F6AFC" w:rsidRPr="001F6AFC" w:rsidRDefault="2248451C" w:rsidP="2248451C">
            <w:pPr>
              <w:spacing w:after="0"/>
              <w:jc w:val="right"/>
              <w:rPr>
                <w:sz w:val="18"/>
                <w:szCs w:val="18"/>
              </w:rPr>
            </w:pPr>
            <w:r w:rsidRPr="2248451C">
              <w:rPr>
                <w:sz w:val="18"/>
                <w:szCs w:val="18"/>
              </w:rPr>
              <w:t xml:space="preserve">8 147,3 </w:t>
            </w:r>
          </w:p>
        </w:tc>
        <w:tc>
          <w:tcPr>
            <w:tcW w:w="1020" w:type="dxa"/>
            <w:tcBorders>
              <w:top w:val="nil"/>
              <w:left w:val="nil"/>
              <w:bottom w:val="single" w:sz="4" w:space="0" w:color="auto"/>
              <w:right w:val="single" w:sz="4" w:space="0" w:color="auto"/>
            </w:tcBorders>
            <w:shd w:val="clear" w:color="auto" w:fill="auto"/>
            <w:noWrap/>
            <w:vAlign w:val="bottom"/>
            <w:hideMark/>
          </w:tcPr>
          <w:p w14:paraId="463F2D10" w14:textId="77777777" w:rsidR="001F6AFC" w:rsidRPr="001F6AFC" w:rsidRDefault="2248451C" w:rsidP="2248451C">
            <w:pPr>
              <w:spacing w:after="0"/>
              <w:jc w:val="right"/>
              <w:rPr>
                <w:sz w:val="18"/>
                <w:szCs w:val="18"/>
              </w:rPr>
            </w:pPr>
            <w:r w:rsidRPr="2248451C">
              <w:rPr>
                <w:sz w:val="18"/>
                <w:szCs w:val="18"/>
              </w:rPr>
              <w:t xml:space="preserve">54,4 </w:t>
            </w:r>
          </w:p>
        </w:tc>
        <w:tc>
          <w:tcPr>
            <w:tcW w:w="1180" w:type="dxa"/>
            <w:tcBorders>
              <w:top w:val="nil"/>
              <w:left w:val="nil"/>
              <w:bottom w:val="single" w:sz="4" w:space="0" w:color="auto"/>
              <w:right w:val="single" w:sz="4" w:space="0" w:color="auto"/>
            </w:tcBorders>
            <w:shd w:val="clear" w:color="auto" w:fill="auto"/>
            <w:noWrap/>
            <w:vAlign w:val="bottom"/>
            <w:hideMark/>
          </w:tcPr>
          <w:p w14:paraId="00B0864C" w14:textId="77777777" w:rsidR="001F6AFC" w:rsidRPr="001F6AFC" w:rsidRDefault="2248451C" w:rsidP="2248451C">
            <w:pPr>
              <w:spacing w:after="0"/>
              <w:jc w:val="right"/>
              <w:rPr>
                <w:sz w:val="18"/>
                <w:szCs w:val="18"/>
              </w:rPr>
            </w:pPr>
            <w:r w:rsidRPr="2248451C">
              <w:rPr>
                <w:sz w:val="18"/>
                <w:szCs w:val="18"/>
              </w:rPr>
              <w:t xml:space="preserve">14 522,8 </w:t>
            </w:r>
          </w:p>
        </w:tc>
        <w:tc>
          <w:tcPr>
            <w:tcW w:w="1180" w:type="dxa"/>
            <w:tcBorders>
              <w:top w:val="nil"/>
              <w:left w:val="nil"/>
              <w:bottom w:val="single" w:sz="4" w:space="0" w:color="auto"/>
              <w:right w:val="single" w:sz="4" w:space="0" w:color="auto"/>
            </w:tcBorders>
            <w:shd w:val="clear" w:color="auto" w:fill="auto"/>
            <w:noWrap/>
            <w:vAlign w:val="bottom"/>
            <w:hideMark/>
          </w:tcPr>
          <w:p w14:paraId="0F1CD007" w14:textId="77777777" w:rsidR="001F6AFC" w:rsidRPr="001F6AFC" w:rsidRDefault="2248451C" w:rsidP="2248451C">
            <w:pPr>
              <w:spacing w:after="0"/>
              <w:jc w:val="right"/>
              <w:rPr>
                <w:sz w:val="18"/>
                <w:szCs w:val="18"/>
              </w:rPr>
            </w:pPr>
            <w:r w:rsidRPr="2248451C">
              <w:rPr>
                <w:sz w:val="18"/>
                <w:szCs w:val="18"/>
              </w:rPr>
              <w:t xml:space="preserve">8 675,5 </w:t>
            </w:r>
          </w:p>
        </w:tc>
        <w:tc>
          <w:tcPr>
            <w:tcW w:w="1042" w:type="dxa"/>
            <w:tcBorders>
              <w:top w:val="nil"/>
              <w:left w:val="nil"/>
              <w:bottom w:val="single" w:sz="4" w:space="0" w:color="auto"/>
              <w:right w:val="single" w:sz="4" w:space="0" w:color="auto"/>
            </w:tcBorders>
            <w:shd w:val="clear" w:color="auto" w:fill="auto"/>
            <w:noWrap/>
            <w:vAlign w:val="bottom"/>
            <w:hideMark/>
          </w:tcPr>
          <w:p w14:paraId="5F655BC8" w14:textId="77777777" w:rsidR="001F6AFC" w:rsidRPr="001F6AFC" w:rsidRDefault="2248451C" w:rsidP="2248451C">
            <w:pPr>
              <w:spacing w:after="0"/>
              <w:jc w:val="right"/>
              <w:rPr>
                <w:sz w:val="18"/>
                <w:szCs w:val="18"/>
              </w:rPr>
            </w:pPr>
            <w:r w:rsidRPr="2248451C">
              <w:rPr>
                <w:sz w:val="18"/>
                <w:szCs w:val="18"/>
              </w:rPr>
              <w:t xml:space="preserve">59,7 </w:t>
            </w:r>
          </w:p>
        </w:tc>
        <w:tc>
          <w:tcPr>
            <w:tcW w:w="1000" w:type="dxa"/>
            <w:tcBorders>
              <w:top w:val="nil"/>
              <w:left w:val="nil"/>
              <w:bottom w:val="single" w:sz="4" w:space="0" w:color="auto"/>
              <w:right w:val="single" w:sz="4" w:space="0" w:color="auto"/>
            </w:tcBorders>
            <w:shd w:val="clear" w:color="auto" w:fill="auto"/>
            <w:noWrap/>
            <w:vAlign w:val="bottom"/>
            <w:hideMark/>
          </w:tcPr>
          <w:p w14:paraId="4E7EF8AF" w14:textId="77777777" w:rsidR="001F6AFC" w:rsidRPr="001F6AFC" w:rsidRDefault="2248451C" w:rsidP="2248451C">
            <w:pPr>
              <w:spacing w:after="0"/>
              <w:jc w:val="right"/>
              <w:rPr>
                <w:sz w:val="18"/>
                <w:szCs w:val="18"/>
              </w:rPr>
            </w:pPr>
            <w:r w:rsidRPr="2248451C">
              <w:rPr>
                <w:sz w:val="18"/>
                <w:szCs w:val="18"/>
              </w:rPr>
              <w:t xml:space="preserve">106,5 </w:t>
            </w:r>
          </w:p>
        </w:tc>
      </w:tr>
      <w:tr w:rsidR="001F6AFC" w:rsidRPr="001F6AFC" w14:paraId="2CB3037D" w14:textId="77777777" w:rsidTr="2248451C">
        <w:trPr>
          <w:trHeight w:val="300"/>
        </w:trPr>
        <w:tc>
          <w:tcPr>
            <w:tcW w:w="1841" w:type="dxa"/>
            <w:tcBorders>
              <w:top w:val="nil"/>
              <w:left w:val="single" w:sz="4" w:space="0" w:color="auto"/>
              <w:bottom w:val="single" w:sz="4" w:space="0" w:color="auto"/>
              <w:right w:val="single" w:sz="4" w:space="0" w:color="auto"/>
            </w:tcBorders>
            <w:shd w:val="clear" w:color="auto" w:fill="auto"/>
            <w:vAlign w:val="bottom"/>
            <w:hideMark/>
          </w:tcPr>
          <w:p w14:paraId="2ED1D1B0" w14:textId="77777777" w:rsidR="001F6AFC" w:rsidRPr="001F6AFC" w:rsidRDefault="2248451C" w:rsidP="2248451C">
            <w:pPr>
              <w:spacing w:after="0"/>
              <w:jc w:val="right"/>
              <w:rPr>
                <w:sz w:val="18"/>
                <w:szCs w:val="18"/>
              </w:rPr>
            </w:pPr>
            <w:r w:rsidRPr="2248451C">
              <w:rPr>
                <w:sz w:val="18"/>
                <w:szCs w:val="18"/>
              </w:rPr>
              <w:t>kiadás:</w:t>
            </w:r>
          </w:p>
        </w:tc>
        <w:tc>
          <w:tcPr>
            <w:tcW w:w="1180" w:type="dxa"/>
            <w:tcBorders>
              <w:top w:val="nil"/>
              <w:left w:val="nil"/>
              <w:bottom w:val="single" w:sz="4" w:space="0" w:color="auto"/>
              <w:right w:val="single" w:sz="4" w:space="0" w:color="auto"/>
            </w:tcBorders>
            <w:shd w:val="clear" w:color="auto" w:fill="auto"/>
            <w:noWrap/>
            <w:vAlign w:val="bottom"/>
            <w:hideMark/>
          </w:tcPr>
          <w:p w14:paraId="426606DB" w14:textId="77777777" w:rsidR="001F6AFC" w:rsidRPr="001F6AFC" w:rsidRDefault="2248451C" w:rsidP="2248451C">
            <w:pPr>
              <w:spacing w:after="0"/>
              <w:jc w:val="right"/>
              <w:rPr>
                <w:sz w:val="18"/>
                <w:szCs w:val="18"/>
              </w:rPr>
            </w:pPr>
            <w:r w:rsidRPr="2248451C">
              <w:rPr>
                <w:sz w:val="18"/>
                <w:szCs w:val="18"/>
              </w:rPr>
              <w:t xml:space="preserve">15 988,9 </w:t>
            </w:r>
          </w:p>
        </w:tc>
        <w:tc>
          <w:tcPr>
            <w:tcW w:w="1180" w:type="dxa"/>
            <w:tcBorders>
              <w:top w:val="nil"/>
              <w:left w:val="nil"/>
              <w:bottom w:val="single" w:sz="4" w:space="0" w:color="auto"/>
              <w:right w:val="single" w:sz="4" w:space="0" w:color="auto"/>
            </w:tcBorders>
            <w:shd w:val="clear" w:color="auto" w:fill="auto"/>
            <w:noWrap/>
            <w:vAlign w:val="bottom"/>
            <w:hideMark/>
          </w:tcPr>
          <w:p w14:paraId="5F21E90E" w14:textId="77777777" w:rsidR="001F6AFC" w:rsidRPr="001F6AFC" w:rsidRDefault="2248451C" w:rsidP="2248451C">
            <w:pPr>
              <w:spacing w:after="0"/>
              <w:jc w:val="right"/>
              <w:rPr>
                <w:sz w:val="18"/>
                <w:szCs w:val="18"/>
              </w:rPr>
            </w:pPr>
            <w:r w:rsidRPr="2248451C">
              <w:rPr>
                <w:sz w:val="18"/>
                <w:szCs w:val="18"/>
              </w:rPr>
              <w:t xml:space="preserve">8 594,0 </w:t>
            </w:r>
          </w:p>
        </w:tc>
        <w:tc>
          <w:tcPr>
            <w:tcW w:w="1020" w:type="dxa"/>
            <w:tcBorders>
              <w:top w:val="nil"/>
              <w:left w:val="nil"/>
              <w:bottom w:val="single" w:sz="4" w:space="0" w:color="auto"/>
              <w:right w:val="single" w:sz="4" w:space="0" w:color="auto"/>
            </w:tcBorders>
            <w:shd w:val="clear" w:color="auto" w:fill="auto"/>
            <w:noWrap/>
            <w:vAlign w:val="bottom"/>
            <w:hideMark/>
          </w:tcPr>
          <w:p w14:paraId="32F6B4B3" w14:textId="77777777" w:rsidR="001F6AFC" w:rsidRPr="001F6AFC" w:rsidRDefault="2248451C" w:rsidP="2248451C">
            <w:pPr>
              <w:spacing w:after="0"/>
              <w:jc w:val="right"/>
              <w:rPr>
                <w:sz w:val="18"/>
                <w:szCs w:val="18"/>
              </w:rPr>
            </w:pPr>
            <w:r w:rsidRPr="2248451C">
              <w:rPr>
                <w:sz w:val="18"/>
                <w:szCs w:val="18"/>
              </w:rPr>
              <w:t xml:space="preserve">53,7 </w:t>
            </w:r>
          </w:p>
        </w:tc>
        <w:tc>
          <w:tcPr>
            <w:tcW w:w="1180" w:type="dxa"/>
            <w:tcBorders>
              <w:top w:val="nil"/>
              <w:left w:val="nil"/>
              <w:bottom w:val="single" w:sz="4" w:space="0" w:color="auto"/>
              <w:right w:val="single" w:sz="4" w:space="0" w:color="auto"/>
            </w:tcBorders>
            <w:shd w:val="clear" w:color="auto" w:fill="auto"/>
            <w:noWrap/>
            <w:vAlign w:val="bottom"/>
            <w:hideMark/>
          </w:tcPr>
          <w:p w14:paraId="3D7EFF1C" w14:textId="77777777" w:rsidR="001F6AFC" w:rsidRPr="001F6AFC" w:rsidRDefault="2248451C" w:rsidP="2248451C">
            <w:pPr>
              <w:spacing w:after="0"/>
              <w:jc w:val="right"/>
              <w:rPr>
                <w:sz w:val="18"/>
                <w:szCs w:val="18"/>
              </w:rPr>
            </w:pPr>
            <w:r w:rsidRPr="2248451C">
              <w:rPr>
                <w:sz w:val="18"/>
                <w:szCs w:val="18"/>
              </w:rPr>
              <w:t xml:space="preserve">14 881,8 </w:t>
            </w:r>
          </w:p>
        </w:tc>
        <w:tc>
          <w:tcPr>
            <w:tcW w:w="1180" w:type="dxa"/>
            <w:tcBorders>
              <w:top w:val="nil"/>
              <w:left w:val="nil"/>
              <w:bottom w:val="single" w:sz="4" w:space="0" w:color="auto"/>
              <w:right w:val="single" w:sz="4" w:space="0" w:color="auto"/>
            </w:tcBorders>
            <w:shd w:val="clear" w:color="auto" w:fill="auto"/>
            <w:noWrap/>
            <w:vAlign w:val="bottom"/>
            <w:hideMark/>
          </w:tcPr>
          <w:p w14:paraId="4C0DA4F8" w14:textId="77777777" w:rsidR="001F6AFC" w:rsidRPr="001F6AFC" w:rsidRDefault="2248451C" w:rsidP="2248451C">
            <w:pPr>
              <w:spacing w:after="0"/>
              <w:jc w:val="right"/>
              <w:rPr>
                <w:sz w:val="18"/>
                <w:szCs w:val="18"/>
              </w:rPr>
            </w:pPr>
            <w:r w:rsidRPr="2248451C">
              <w:rPr>
                <w:sz w:val="18"/>
                <w:szCs w:val="18"/>
              </w:rPr>
              <w:t xml:space="preserve">10 516,9 </w:t>
            </w:r>
          </w:p>
        </w:tc>
        <w:tc>
          <w:tcPr>
            <w:tcW w:w="1042" w:type="dxa"/>
            <w:tcBorders>
              <w:top w:val="nil"/>
              <w:left w:val="nil"/>
              <w:bottom w:val="single" w:sz="4" w:space="0" w:color="auto"/>
              <w:right w:val="single" w:sz="4" w:space="0" w:color="auto"/>
            </w:tcBorders>
            <w:shd w:val="clear" w:color="auto" w:fill="auto"/>
            <w:noWrap/>
            <w:vAlign w:val="bottom"/>
            <w:hideMark/>
          </w:tcPr>
          <w:p w14:paraId="427EA917" w14:textId="77777777" w:rsidR="001F6AFC" w:rsidRPr="001F6AFC" w:rsidRDefault="2248451C" w:rsidP="2248451C">
            <w:pPr>
              <w:spacing w:after="0"/>
              <w:jc w:val="right"/>
              <w:rPr>
                <w:sz w:val="18"/>
                <w:szCs w:val="18"/>
              </w:rPr>
            </w:pPr>
            <w:r w:rsidRPr="2248451C">
              <w:rPr>
                <w:sz w:val="18"/>
                <w:szCs w:val="18"/>
              </w:rPr>
              <w:t xml:space="preserve">70,7 </w:t>
            </w:r>
          </w:p>
        </w:tc>
        <w:tc>
          <w:tcPr>
            <w:tcW w:w="1000" w:type="dxa"/>
            <w:tcBorders>
              <w:top w:val="nil"/>
              <w:left w:val="nil"/>
              <w:bottom w:val="single" w:sz="4" w:space="0" w:color="auto"/>
              <w:right w:val="single" w:sz="4" w:space="0" w:color="auto"/>
            </w:tcBorders>
            <w:shd w:val="clear" w:color="auto" w:fill="auto"/>
            <w:noWrap/>
            <w:vAlign w:val="bottom"/>
            <w:hideMark/>
          </w:tcPr>
          <w:p w14:paraId="1029BFE2" w14:textId="77777777" w:rsidR="001F6AFC" w:rsidRPr="001F6AFC" w:rsidRDefault="2248451C" w:rsidP="2248451C">
            <w:pPr>
              <w:spacing w:after="0"/>
              <w:jc w:val="right"/>
              <w:rPr>
                <w:sz w:val="18"/>
                <w:szCs w:val="18"/>
              </w:rPr>
            </w:pPr>
            <w:r w:rsidRPr="2248451C">
              <w:rPr>
                <w:sz w:val="18"/>
                <w:szCs w:val="18"/>
              </w:rPr>
              <w:t xml:space="preserve">122,4 </w:t>
            </w:r>
          </w:p>
        </w:tc>
      </w:tr>
      <w:tr w:rsidR="001F6AFC" w:rsidRPr="001F6AFC" w14:paraId="46608FFB" w14:textId="77777777" w:rsidTr="2248451C">
        <w:trPr>
          <w:trHeight w:val="720"/>
        </w:trPr>
        <w:tc>
          <w:tcPr>
            <w:tcW w:w="1841" w:type="dxa"/>
            <w:tcBorders>
              <w:top w:val="nil"/>
              <w:left w:val="single" w:sz="4" w:space="0" w:color="auto"/>
              <w:bottom w:val="single" w:sz="4" w:space="0" w:color="auto"/>
              <w:right w:val="single" w:sz="4" w:space="0" w:color="auto"/>
            </w:tcBorders>
            <w:shd w:val="clear" w:color="auto" w:fill="auto"/>
            <w:vAlign w:val="center"/>
            <w:hideMark/>
          </w:tcPr>
          <w:p w14:paraId="6A99A9B3" w14:textId="77777777" w:rsidR="001F6AFC" w:rsidRPr="001F6AFC" w:rsidRDefault="2248451C" w:rsidP="2248451C">
            <w:pPr>
              <w:spacing w:after="0"/>
              <w:jc w:val="left"/>
              <w:rPr>
                <w:b/>
                <w:bCs/>
                <w:sz w:val="18"/>
                <w:szCs w:val="18"/>
              </w:rPr>
            </w:pPr>
            <w:r w:rsidRPr="2248451C">
              <w:rPr>
                <w:b/>
                <w:bCs/>
                <w:sz w:val="18"/>
                <w:szCs w:val="18"/>
              </w:rPr>
              <w:t>Elkülönített állami pénzalapok egyenlege</w:t>
            </w:r>
          </w:p>
        </w:tc>
        <w:tc>
          <w:tcPr>
            <w:tcW w:w="1180" w:type="dxa"/>
            <w:tcBorders>
              <w:top w:val="nil"/>
              <w:left w:val="nil"/>
              <w:bottom w:val="single" w:sz="4" w:space="0" w:color="auto"/>
              <w:right w:val="single" w:sz="4" w:space="0" w:color="auto"/>
            </w:tcBorders>
            <w:shd w:val="clear" w:color="auto" w:fill="auto"/>
            <w:noWrap/>
            <w:vAlign w:val="bottom"/>
            <w:hideMark/>
          </w:tcPr>
          <w:p w14:paraId="24102952" w14:textId="77777777" w:rsidR="001F6AFC" w:rsidRPr="001F6AFC" w:rsidRDefault="2248451C" w:rsidP="2248451C">
            <w:pPr>
              <w:spacing w:after="0"/>
              <w:jc w:val="right"/>
              <w:rPr>
                <w:b/>
                <w:bCs/>
                <w:sz w:val="18"/>
                <w:szCs w:val="18"/>
              </w:rPr>
            </w:pPr>
            <w:r w:rsidRPr="2248451C">
              <w:rPr>
                <w:b/>
                <w:bCs/>
                <w:sz w:val="18"/>
                <w:szCs w:val="18"/>
              </w:rPr>
              <w:t xml:space="preserve">39,6 </w:t>
            </w:r>
          </w:p>
        </w:tc>
        <w:tc>
          <w:tcPr>
            <w:tcW w:w="1180" w:type="dxa"/>
            <w:tcBorders>
              <w:top w:val="nil"/>
              <w:left w:val="nil"/>
              <w:bottom w:val="single" w:sz="4" w:space="0" w:color="auto"/>
              <w:right w:val="single" w:sz="4" w:space="0" w:color="auto"/>
            </w:tcBorders>
            <w:shd w:val="clear" w:color="auto" w:fill="auto"/>
            <w:noWrap/>
            <w:vAlign w:val="bottom"/>
            <w:hideMark/>
          </w:tcPr>
          <w:p w14:paraId="1B0DFAD8" w14:textId="77777777" w:rsidR="001F6AFC" w:rsidRPr="001F6AFC" w:rsidRDefault="2248451C" w:rsidP="2248451C">
            <w:pPr>
              <w:spacing w:after="0"/>
              <w:jc w:val="right"/>
              <w:rPr>
                <w:b/>
                <w:bCs/>
                <w:sz w:val="18"/>
                <w:szCs w:val="18"/>
              </w:rPr>
            </w:pPr>
            <w:r w:rsidRPr="2248451C">
              <w:rPr>
                <w:b/>
                <w:bCs/>
                <w:sz w:val="18"/>
                <w:szCs w:val="18"/>
              </w:rPr>
              <w:t xml:space="preserve">73,5 </w:t>
            </w:r>
          </w:p>
        </w:tc>
        <w:tc>
          <w:tcPr>
            <w:tcW w:w="1020" w:type="dxa"/>
            <w:tcBorders>
              <w:top w:val="nil"/>
              <w:left w:val="nil"/>
              <w:bottom w:val="single" w:sz="4" w:space="0" w:color="auto"/>
              <w:right w:val="single" w:sz="4" w:space="0" w:color="auto"/>
            </w:tcBorders>
            <w:shd w:val="clear" w:color="auto" w:fill="auto"/>
            <w:noWrap/>
            <w:vAlign w:val="bottom"/>
            <w:hideMark/>
          </w:tcPr>
          <w:p w14:paraId="025CF1F6" w14:textId="77777777" w:rsidR="001F6AFC" w:rsidRPr="001F6AFC" w:rsidRDefault="2248451C" w:rsidP="2248451C">
            <w:pPr>
              <w:spacing w:after="0"/>
              <w:jc w:val="right"/>
              <w:rPr>
                <w:sz w:val="18"/>
                <w:szCs w:val="18"/>
              </w:rPr>
            </w:pPr>
            <w:r w:rsidRPr="2248451C">
              <w:rPr>
                <w:sz w:val="18"/>
                <w:szCs w:val="18"/>
              </w:rPr>
              <w:t xml:space="preserve">185,6 </w:t>
            </w:r>
          </w:p>
        </w:tc>
        <w:tc>
          <w:tcPr>
            <w:tcW w:w="1180" w:type="dxa"/>
            <w:tcBorders>
              <w:top w:val="nil"/>
              <w:left w:val="nil"/>
              <w:bottom w:val="single" w:sz="4" w:space="0" w:color="auto"/>
              <w:right w:val="single" w:sz="4" w:space="0" w:color="auto"/>
            </w:tcBorders>
            <w:shd w:val="clear" w:color="auto" w:fill="auto"/>
            <w:noWrap/>
            <w:vAlign w:val="bottom"/>
            <w:hideMark/>
          </w:tcPr>
          <w:p w14:paraId="42BB1467" w14:textId="77777777" w:rsidR="001F6AFC" w:rsidRPr="001F6AFC" w:rsidRDefault="2248451C" w:rsidP="2248451C">
            <w:pPr>
              <w:spacing w:after="0"/>
              <w:jc w:val="right"/>
              <w:rPr>
                <w:b/>
                <w:bCs/>
                <w:sz w:val="18"/>
                <w:szCs w:val="18"/>
              </w:rPr>
            </w:pPr>
            <w:r w:rsidRPr="2248451C">
              <w:rPr>
                <w:b/>
                <w:bCs/>
                <w:sz w:val="18"/>
                <w:szCs w:val="18"/>
              </w:rPr>
              <w:t xml:space="preserve">-8,0 </w:t>
            </w:r>
          </w:p>
        </w:tc>
        <w:tc>
          <w:tcPr>
            <w:tcW w:w="1180" w:type="dxa"/>
            <w:tcBorders>
              <w:top w:val="nil"/>
              <w:left w:val="nil"/>
              <w:bottom w:val="single" w:sz="4" w:space="0" w:color="auto"/>
              <w:right w:val="single" w:sz="4" w:space="0" w:color="auto"/>
            </w:tcBorders>
            <w:shd w:val="clear" w:color="auto" w:fill="auto"/>
            <w:noWrap/>
            <w:vAlign w:val="bottom"/>
            <w:hideMark/>
          </w:tcPr>
          <w:p w14:paraId="1E0A8971" w14:textId="77777777" w:rsidR="001F6AFC" w:rsidRPr="001F6AFC" w:rsidRDefault="2248451C" w:rsidP="2248451C">
            <w:pPr>
              <w:spacing w:after="0"/>
              <w:jc w:val="right"/>
              <w:rPr>
                <w:b/>
                <w:bCs/>
                <w:sz w:val="18"/>
                <w:szCs w:val="18"/>
              </w:rPr>
            </w:pPr>
            <w:r w:rsidRPr="2248451C">
              <w:rPr>
                <w:b/>
                <w:bCs/>
                <w:sz w:val="18"/>
                <w:szCs w:val="18"/>
              </w:rPr>
              <w:t xml:space="preserve">12,7 </w:t>
            </w:r>
          </w:p>
        </w:tc>
        <w:tc>
          <w:tcPr>
            <w:tcW w:w="1042" w:type="dxa"/>
            <w:tcBorders>
              <w:top w:val="nil"/>
              <w:left w:val="nil"/>
              <w:bottom w:val="single" w:sz="4" w:space="0" w:color="auto"/>
              <w:right w:val="single" w:sz="4" w:space="0" w:color="auto"/>
            </w:tcBorders>
            <w:shd w:val="clear" w:color="auto" w:fill="auto"/>
            <w:noWrap/>
            <w:vAlign w:val="bottom"/>
            <w:hideMark/>
          </w:tcPr>
          <w:p w14:paraId="15476C40" w14:textId="77777777" w:rsidR="001F6AFC" w:rsidRPr="001F6AFC" w:rsidRDefault="2248451C" w:rsidP="2248451C">
            <w:pPr>
              <w:spacing w:after="0"/>
              <w:jc w:val="left"/>
              <w:rPr>
                <w:sz w:val="18"/>
                <w:szCs w:val="18"/>
              </w:rPr>
            </w:pPr>
            <w:r w:rsidRPr="2248451C">
              <w:rPr>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14:paraId="70108F91" w14:textId="77777777" w:rsidR="001F6AFC" w:rsidRPr="001F6AFC" w:rsidRDefault="2248451C" w:rsidP="2248451C">
            <w:pPr>
              <w:spacing w:after="0"/>
              <w:jc w:val="right"/>
              <w:rPr>
                <w:sz w:val="18"/>
                <w:szCs w:val="18"/>
              </w:rPr>
            </w:pPr>
            <w:r w:rsidRPr="2248451C">
              <w:rPr>
                <w:sz w:val="18"/>
                <w:szCs w:val="18"/>
              </w:rPr>
              <w:t xml:space="preserve">17,3 </w:t>
            </w:r>
          </w:p>
        </w:tc>
      </w:tr>
      <w:tr w:rsidR="001F6AFC" w:rsidRPr="001F6AFC" w14:paraId="46B9B000" w14:textId="77777777" w:rsidTr="2248451C">
        <w:trPr>
          <w:trHeight w:val="300"/>
        </w:trPr>
        <w:tc>
          <w:tcPr>
            <w:tcW w:w="1841" w:type="dxa"/>
            <w:tcBorders>
              <w:top w:val="nil"/>
              <w:left w:val="single" w:sz="4" w:space="0" w:color="auto"/>
              <w:bottom w:val="single" w:sz="4" w:space="0" w:color="auto"/>
              <w:right w:val="single" w:sz="4" w:space="0" w:color="auto"/>
            </w:tcBorders>
            <w:shd w:val="clear" w:color="auto" w:fill="auto"/>
            <w:vAlign w:val="bottom"/>
            <w:hideMark/>
          </w:tcPr>
          <w:p w14:paraId="01807604" w14:textId="77777777" w:rsidR="001F6AFC" w:rsidRPr="001F6AFC" w:rsidRDefault="2248451C" w:rsidP="2248451C">
            <w:pPr>
              <w:spacing w:after="0"/>
              <w:jc w:val="right"/>
              <w:rPr>
                <w:sz w:val="18"/>
                <w:szCs w:val="18"/>
              </w:rPr>
            </w:pPr>
            <w:r w:rsidRPr="2248451C">
              <w:rPr>
                <w:sz w:val="18"/>
                <w:szCs w:val="18"/>
              </w:rPr>
              <w:t>bevétel:</w:t>
            </w:r>
          </w:p>
        </w:tc>
        <w:tc>
          <w:tcPr>
            <w:tcW w:w="1180" w:type="dxa"/>
            <w:tcBorders>
              <w:top w:val="nil"/>
              <w:left w:val="nil"/>
              <w:bottom w:val="single" w:sz="4" w:space="0" w:color="auto"/>
              <w:right w:val="single" w:sz="4" w:space="0" w:color="auto"/>
            </w:tcBorders>
            <w:shd w:val="clear" w:color="auto" w:fill="auto"/>
            <w:noWrap/>
            <w:vAlign w:val="bottom"/>
            <w:hideMark/>
          </w:tcPr>
          <w:p w14:paraId="383C2529" w14:textId="77777777" w:rsidR="001F6AFC" w:rsidRPr="001F6AFC" w:rsidRDefault="2248451C" w:rsidP="2248451C">
            <w:pPr>
              <w:spacing w:after="0"/>
              <w:jc w:val="right"/>
              <w:rPr>
                <w:sz w:val="18"/>
                <w:szCs w:val="18"/>
              </w:rPr>
            </w:pPr>
            <w:r w:rsidRPr="2248451C">
              <w:rPr>
                <w:sz w:val="18"/>
                <w:szCs w:val="18"/>
              </w:rPr>
              <w:t xml:space="preserve">658,4 </w:t>
            </w:r>
          </w:p>
        </w:tc>
        <w:tc>
          <w:tcPr>
            <w:tcW w:w="1180" w:type="dxa"/>
            <w:tcBorders>
              <w:top w:val="nil"/>
              <w:left w:val="nil"/>
              <w:bottom w:val="single" w:sz="4" w:space="0" w:color="auto"/>
              <w:right w:val="single" w:sz="4" w:space="0" w:color="auto"/>
            </w:tcBorders>
            <w:shd w:val="clear" w:color="auto" w:fill="auto"/>
            <w:noWrap/>
            <w:vAlign w:val="bottom"/>
            <w:hideMark/>
          </w:tcPr>
          <w:p w14:paraId="766A6817" w14:textId="77777777" w:rsidR="001F6AFC" w:rsidRPr="001F6AFC" w:rsidRDefault="2248451C" w:rsidP="2248451C">
            <w:pPr>
              <w:spacing w:after="0"/>
              <w:jc w:val="right"/>
              <w:rPr>
                <w:sz w:val="18"/>
                <w:szCs w:val="18"/>
              </w:rPr>
            </w:pPr>
            <w:r w:rsidRPr="2248451C">
              <w:rPr>
                <w:sz w:val="18"/>
                <w:szCs w:val="18"/>
              </w:rPr>
              <w:t xml:space="preserve">377,3 </w:t>
            </w:r>
          </w:p>
        </w:tc>
        <w:tc>
          <w:tcPr>
            <w:tcW w:w="1020" w:type="dxa"/>
            <w:tcBorders>
              <w:top w:val="nil"/>
              <w:left w:val="nil"/>
              <w:bottom w:val="single" w:sz="4" w:space="0" w:color="auto"/>
              <w:right w:val="single" w:sz="4" w:space="0" w:color="auto"/>
            </w:tcBorders>
            <w:shd w:val="clear" w:color="auto" w:fill="auto"/>
            <w:noWrap/>
            <w:vAlign w:val="bottom"/>
            <w:hideMark/>
          </w:tcPr>
          <w:p w14:paraId="6B28299F" w14:textId="77777777" w:rsidR="001F6AFC" w:rsidRPr="001F6AFC" w:rsidRDefault="2248451C" w:rsidP="2248451C">
            <w:pPr>
              <w:spacing w:after="0"/>
              <w:jc w:val="right"/>
              <w:rPr>
                <w:sz w:val="18"/>
                <w:szCs w:val="18"/>
              </w:rPr>
            </w:pPr>
            <w:r w:rsidRPr="2248451C">
              <w:rPr>
                <w:sz w:val="18"/>
                <w:szCs w:val="18"/>
              </w:rPr>
              <w:t xml:space="preserve">57,3 </w:t>
            </w:r>
          </w:p>
        </w:tc>
        <w:tc>
          <w:tcPr>
            <w:tcW w:w="1180" w:type="dxa"/>
            <w:tcBorders>
              <w:top w:val="nil"/>
              <w:left w:val="nil"/>
              <w:bottom w:val="single" w:sz="4" w:space="0" w:color="auto"/>
              <w:right w:val="single" w:sz="4" w:space="0" w:color="auto"/>
            </w:tcBorders>
            <w:shd w:val="clear" w:color="auto" w:fill="auto"/>
            <w:noWrap/>
            <w:vAlign w:val="bottom"/>
            <w:hideMark/>
          </w:tcPr>
          <w:p w14:paraId="7ED1AEEC" w14:textId="77777777" w:rsidR="001F6AFC" w:rsidRPr="001F6AFC" w:rsidRDefault="2248451C" w:rsidP="2248451C">
            <w:pPr>
              <w:spacing w:after="0"/>
              <w:jc w:val="right"/>
              <w:rPr>
                <w:sz w:val="18"/>
                <w:szCs w:val="18"/>
              </w:rPr>
            </w:pPr>
            <w:r w:rsidRPr="2248451C">
              <w:rPr>
                <w:sz w:val="18"/>
                <w:szCs w:val="18"/>
              </w:rPr>
              <w:t xml:space="preserve">633,6 </w:t>
            </w:r>
          </w:p>
        </w:tc>
        <w:tc>
          <w:tcPr>
            <w:tcW w:w="1180" w:type="dxa"/>
            <w:tcBorders>
              <w:top w:val="nil"/>
              <w:left w:val="nil"/>
              <w:bottom w:val="single" w:sz="4" w:space="0" w:color="auto"/>
              <w:right w:val="single" w:sz="4" w:space="0" w:color="auto"/>
            </w:tcBorders>
            <w:shd w:val="clear" w:color="auto" w:fill="auto"/>
            <w:noWrap/>
            <w:vAlign w:val="bottom"/>
            <w:hideMark/>
          </w:tcPr>
          <w:p w14:paraId="4D307ECE" w14:textId="77777777" w:rsidR="001F6AFC" w:rsidRPr="001F6AFC" w:rsidRDefault="2248451C" w:rsidP="2248451C">
            <w:pPr>
              <w:spacing w:after="0"/>
              <w:jc w:val="right"/>
              <w:rPr>
                <w:sz w:val="18"/>
                <w:szCs w:val="18"/>
              </w:rPr>
            </w:pPr>
            <w:r w:rsidRPr="2248451C">
              <w:rPr>
                <w:sz w:val="18"/>
                <w:szCs w:val="18"/>
              </w:rPr>
              <w:t xml:space="preserve">357,4 </w:t>
            </w:r>
          </w:p>
        </w:tc>
        <w:tc>
          <w:tcPr>
            <w:tcW w:w="1042" w:type="dxa"/>
            <w:tcBorders>
              <w:top w:val="nil"/>
              <w:left w:val="nil"/>
              <w:bottom w:val="single" w:sz="4" w:space="0" w:color="auto"/>
              <w:right w:val="single" w:sz="4" w:space="0" w:color="auto"/>
            </w:tcBorders>
            <w:shd w:val="clear" w:color="auto" w:fill="auto"/>
            <w:noWrap/>
            <w:vAlign w:val="bottom"/>
            <w:hideMark/>
          </w:tcPr>
          <w:p w14:paraId="587D9467" w14:textId="77777777" w:rsidR="001F6AFC" w:rsidRPr="001F6AFC" w:rsidRDefault="2248451C" w:rsidP="2248451C">
            <w:pPr>
              <w:spacing w:after="0"/>
              <w:jc w:val="right"/>
              <w:rPr>
                <w:sz w:val="18"/>
                <w:szCs w:val="18"/>
              </w:rPr>
            </w:pPr>
            <w:r w:rsidRPr="2248451C">
              <w:rPr>
                <w:sz w:val="18"/>
                <w:szCs w:val="18"/>
              </w:rPr>
              <w:t xml:space="preserve">56,4 </w:t>
            </w:r>
          </w:p>
        </w:tc>
        <w:tc>
          <w:tcPr>
            <w:tcW w:w="1000" w:type="dxa"/>
            <w:tcBorders>
              <w:top w:val="nil"/>
              <w:left w:val="nil"/>
              <w:bottom w:val="single" w:sz="4" w:space="0" w:color="auto"/>
              <w:right w:val="single" w:sz="4" w:space="0" w:color="auto"/>
            </w:tcBorders>
            <w:shd w:val="clear" w:color="auto" w:fill="auto"/>
            <w:noWrap/>
            <w:vAlign w:val="bottom"/>
            <w:hideMark/>
          </w:tcPr>
          <w:p w14:paraId="64B31F03" w14:textId="77777777" w:rsidR="001F6AFC" w:rsidRPr="001F6AFC" w:rsidRDefault="2248451C" w:rsidP="2248451C">
            <w:pPr>
              <w:spacing w:after="0"/>
              <w:jc w:val="right"/>
              <w:rPr>
                <w:sz w:val="18"/>
                <w:szCs w:val="18"/>
              </w:rPr>
            </w:pPr>
            <w:r w:rsidRPr="2248451C">
              <w:rPr>
                <w:sz w:val="18"/>
                <w:szCs w:val="18"/>
              </w:rPr>
              <w:t xml:space="preserve">94,7 </w:t>
            </w:r>
          </w:p>
        </w:tc>
      </w:tr>
      <w:tr w:rsidR="001F6AFC" w:rsidRPr="001F6AFC" w14:paraId="7E039EBA" w14:textId="77777777" w:rsidTr="2248451C">
        <w:trPr>
          <w:trHeight w:val="300"/>
        </w:trPr>
        <w:tc>
          <w:tcPr>
            <w:tcW w:w="1841" w:type="dxa"/>
            <w:tcBorders>
              <w:top w:val="nil"/>
              <w:left w:val="single" w:sz="4" w:space="0" w:color="auto"/>
              <w:bottom w:val="single" w:sz="4" w:space="0" w:color="auto"/>
              <w:right w:val="single" w:sz="4" w:space="0" w:color="auto"/>
            </w:tcBorders>
            <w:shd w:val="clear" w:color="auto" w:fill="auto"/>
            <w:vAlign w:val="bottom"/>
            <w:hideMark/>
          </w:tcPr>
          <w:p w14:paraId="5CA1B7C8" w14:textId="77777777" w:rsidR="001F6AFC" w:rsidRPr="001F6AFC" w:rsidRDefault="2248451C" w:rsidP="2248451C">
            <w:pPr>
              <w:spacing w:after="0"/>
              <w:jc w:val="right"/>
              <w:rPr>
                <w:sz w:val="18"/>
                <w:szCs w:val="18"/>
              </w:rPr>
            </w:pPr>
            <w:r w:rsidRPr="2248451C">
              <w:rPr>
                <w:sz w:val="18"/>
                <w:szCs w:val="18"/>
              </w:rPr>
              <w:t>kiadás:</w:t>
            </w:r>
          </w:p>
        </w:tc>
        <w:tc>
          <w:tcPr>
            <w:tcW w:w="1180" w:type="dxa"/>
            <w:tcBorders>
              <w:top w:val="nil"/>
              <w:left w:val="nil"/>
              <w:bottom w:val="single" w:sz="4" w:space="0" w:color="auto"/>
              <w:right w:val="single" w:sz="4" w:space="0" w:color="auto"/>
            </w:tcBorders>
            <w:shd w:val="clear" w:color="auto" w:fill="auto"/>
            <w:noWrap/>
            <w:vAlign w:val="bottom"/>
            <w:hideMark/>
          </w:tcPr>
          <w:p w14:paraId="43144DF2" w14:textId="77777777" w:rsidR="001F6AFC" w:rsidRPr="001F6AFC" w:rsidRDefault="2248451C" w:rsidP="2248451C">
            <w:pPr>
              <w:spacing w:after="0"/>
              <w:jc w:val="right"/>
              <w:rPr>
                <w:sz w:val="18"/>
                <w:szCs w:val="18"/>
              </w:rPr>
            </w:pPr>
            <w:r w:rsidRPr="2248451C">
              <w:rPr>
                <w:sz w:val="18"/>
                <w:szCs w:val="18"/>
              </w:rPr>
              <w:t xml:space="preserve">618,8 </w:t>
            </w:r>
          </w:p>
        </w:tc>
        <w:tc>
          <w:tcPr>
            <w:tcW w:w="1180" w:type="dxa"/>
            <w:tcBorders>
              <w:top w:val="nil"/>
              <w:left w:val="nil"/>
              <w:bottom w:val="single" w:sz="4" w:space="0" w:color="auto"/>
              <w:right w:val="single" w:sz="4" w:space="0" w:color="auto"/>
            </w:tcBorders>
            <w:shd w:val="clear" w:color="auto" w:fill="auto"/>
            <w:noWrap/>
            <w:vAlign w:val="bottom"/>
            <w:hideMark/>
          </w:tcPr>
          <w:p w14:paraId="7CFF1207" w14:textId="77777777" w:rsidR="001F6AFC" w:rsidRPr="001F6AFC" w:rsidRDefault="2248451C" w:rsidP="2248451C">
            <w:pPr>
              <w:spacing w:after="0"/>
              <w:jc w:val="right"/>
              <w:rPr>
                <w:sz w:val="18"/>
                <w:szCs w:val="18"/>
              </w:rPr>
            </w:pPr>
            <w:r w:rsidRPr="2248451C">
              <w:rPr>
                <w:sz w:val="18"/>
                <w:szCs w:val="18"/>
              </w:rPr>
              <w:t xml:space="preserve">303,8 </w:t>
            </w:r>
          </w:p>
        </w:tc>
        <w:tc>
          <w:tcPr>
            <w:tcW w:w="1020" w:type="dxa"/>
            <w:tcBorders>
              <w:top w:val="nil"/>
              <w:left w:val="nil"/>
              <w:bottom w:val="single" w:sz="4" w:space="0" w:color="auto"/>
              <w:right w:val="single" w:sz="4" w:space="0" w:color="auto"/>
            </w:tcBorders>
            <w:shd w:val="clear" w:color="auto" w:fill="auto"/>
            <w:noWrap/>
            <w:vAlign w:val="bottom"/>
            <w:hideMark/>
          </w:tcPr>
          <w:p w14:paraId="6063A3EE" w14:textId="77777777" w:rsidR="001F6AFC" w:rsidRPr="001F6AFC" w:rsidRDefault="2248451C" w:rsidP="2248451C">
            <w:pPr>
              <w:spacing w:after="0"/>
              <w:jc w:val="right"/>
              <w:rPr>
                <w:sz w:val="18"/>
                <w:szCs w:val="18"/>
              </w:rPr>
            </w:pPr>
            <w:r w:rsidRPr="2248451C">
              <w:rPr>
                <w:sz w:val="18"/>
                <w:szCs w:val="18"/>
              </w:rPr>
              <w:t xml:space="preserve">49,1 </w:t>
            </w:r>
          </w:p>
        </w:tc>
        <w:tc>
          <w:tcPr>
            <w:tcW w:w="1180" w:type="dxa"/>
            <w:tcBorders>
              <w:top w:val="nil"/>
              <w:left w:val="nil"/>
              <w:bottom w:val="single" w:sz="4" w:space="0" w:color="auto"/>
              <w:right w:val="single" w:sz="4" w:space="0" w:color="auto"/>
            </w:tcBorders>
            <w:shd w:val="clear" w:color="auto" w:fill="auto"/>
            <w:noWrap/>
            <w:vAlign w:val="bottom"/>
            <w:hideMark/>
          </w:tcPr>
          <w:p w14:paraId="6994D85F" w14:textId="77777777" w:rsidR="001F6AFC" w:rsidRPr="001F6AFC" w:rsidRDefault="2248451C" w:rsidP="2248451C">
            <w:pPr>
              <w:spacing w:after="0"/>
              <w:jc w:val="right"/>
              <w:rPr>
                <w:sz w:val="18"/>
                <w:szCs w:val="18"/>
              </w:rPr>
            </w:pPr>
            <w:r w:rsidRPr="2248451C">
              <w:rPr>
                <w:sz w:val="18"/>
                <w:szCs w:val="18"/>
              </w:rPr>
              <w:t xml:space="preserve">641,6 </w:t>
            </w:r>
          </w:p>
        </w:tc>
        <w:tc>
          <w:tcPr>
            <w:tcW w:w="1180" w:type="dxa"/>
            <w:tcBorders>
              <w:top w:val="nil"/>
              <w:left w:val="nil"/>
              <w:bottom w:val="single" w:sz="4" w:space="0" w:color="auto"/>
              <w:right w:val="single" w:sz="4" w:space="0" w:color="auto"/>
            </w:tcBorders>
            <w:shd w:val="clear" w:color="auto" w:fill="auto"/>
            <w:noWrap/>
            <w:vAlign w:val="bottom"/>
            <w:hideMark/>
          </w:tcPr>
          <w:p w14:paraId="0E3D9878" w14:textId="77777777" w:rsidR="001F6AFC" w:rsidRPr="001F6AFC" w:rsidRDefault="2248451C" w:rsidP="2248451C">
            <w:pPr>
              <w:spacing w:after="0"/>
              <w:jc w:val="right"/>
              <w:rPr>
                <w:sz w:val="18"/>
                <w:szCs w:val="18"/>
              </w:rPr>
            </w:pPr>
            <w:r w:rsidRPr="2248451C">
              <w:rPr>
                <w:sz w:val="18"/>
                <w:szCs w:val="18"/>
              </w:rPr>
              <w:t xml:space="preserve">344,7 </w:t>
            </w:r>
          </w:p>
        </w:tc>
        <w:tc>
          <w:tcPr>
            <w:tcW w:w="1042" w:type="dxa"/>
            <w:tcBorders>
              <w:top w:val="nil"/>
              <w:left w:val="nil"/>
              <w:bottom w:val="single" w:sz="4" w:space="0" w:color="auto"/>
              <w:right w:val="single" w:sz="4" w:space="0" w:color="auto"/>
            </w:tcBorders>
            <w:shd w:val="clear" w:color="auto" w:fill="auto"/>
            <w:noWrap/>
            <w:vAlign w:val="bottom"/>
            <w:hideMark/>
          </w:tcPr>
          <w:p w14:paraId="6C0EF2E8" w14:textId="77777777" w:rsidR="001F6AFC" w:rsidRPr="001F6AFC" w:rsidRDefault="2248451C" w:rsidP="2248451C">
            <w:pPr>
              <w:spacing w:after="0"/>
              <w:jc w:val="right"/>
              <w:rPr>
                <w:sz w:val="18"/>
                <w:szCs w:val="18"/>
              </w:rPr>
            </w:pPr>
            <w:r w:rsidRPr="2248451C">
              <w:rPr>
                <w:sz w:val="18"/>
                <w:szCs w:val="18"/>
              </w:rPr>
              <w:t xml:space="preserve">53,7 </w:t>
            </w:r>
          </w:p>
        </w:tc>
        <w:tc>
          <w:tcPr>
            <w:tcW w:w="1000" w:type="dxa"/>
            <w:tcBorders>
              <w:top w:val="nil"/>
              <w:left w:val="nil"/>
              <w:bottom w:val="single" w:sz="4" w:space="0" w:color="auto"/>
              <w:right w:val="single" w:sz="4" w:space="0" w:color="auto"/>
            </w:tcBorders>
            <w:shd w:val="clear" w:color="auto" w:fill="auto"/>
            <w:noWrap/>
            <w:vAlign w:val="bottom"/>
            <w:hideMark/>
          </w:tcPr>
          <w:p w14:paraId="14899AC8" w14:textId="77777777" w:rsidR="001F6AFC" w:rsidRPr="001F6AFC" w:rsidRDefault="2248451C" w:rsidP="2248451C">
            <w:pPr>
              <w:spacing w:after="0"/>
              <w:jc w:val="right"/>
              <w:rPr>
                <w:sz w:val="18"/>
                <w:szCs w:val="18"/>
              </w:rPr>
            </w:pPr>
            <w:r w:rsidRPr="2248451C">
              <w:rPr>
                <w:sz w:val="18"/>
                <w:szCs w:val="18"/>
              </w:rPr>
              <w:t xml:space="preserve">113,5 </w:t>
            </w:r>
          </w:p>
        </w:tc>
      </w:tr>
      <w:tr w:rsidR="001F6AFC" w:rsidRPr="001F6AFC" w14:paraId="02CF3916" w14:textId="77777777" w:rsidTr="2248451C">
        <w:trPr>
          <w:trHeight w:val="480"/>
        </w:trPr>
        <w:tc>
          <w:tcPr>
            <w:tcW w:w="1841" w:type="dxa"/>
            <w:tcBorders>
              <w:top w:val="nil"/>
              <w:left w:val="single" w:sz="4" w:space="0" w:color="auto"/>
              <w:bottom w:val="single" w:sz="4" w:space="0" w:color="auto"/>
              <w:right w:val="single" w:sz="4" w:space="0" w:color="auto"/>
            </w:tcBorders>
            <w:shd w:val="clear" w:color="auto" w:fill="auto"/>
            <w:vAlign w:val="center"/>
            <w:hideMark/>
          </w:tcPr>
          <w:p w14:paraId="6BED4EFD" w14:textId="77777777" w:rsidR="001F6AFC" w:rsidRPr="001F6AFC" w:rsidRDefault="2248451C" w:rsidP="2248451C">
            <w:pPr>
              <w:spacing w:after="0"/>
              <w:jc w:val="left"/>
              <w:rPr>
                <w:b/>
                <w:bCs/>
                <w:sz w:val="18"/>
                <w:szCs w:val="18"/>
              </w:rPr>
            </w:pPr>
            <w:r w:rsidRPr="2248451C">
              <w:rPr>
                <w:b/>
                <w:bCs/>
                <w:sz w:val="18"/>
                <w:szCs w:val="18"/>
              </w:rPr>
              <w:t>Társadalombiztosítási alapok egyenlege</w:t>
            </w:r>
          </w:p>
        </w:tc>
        <w:tc>
          <w:tcPr>
            <w:tcW w:w="1180" w:type="dxa"/>
            <w:tcBorders>
              <w:top w:val="nil"/>
              <w:left w:val="nil"/>
              <w:bottom w:val="single" w:sz="4" w:space="0" w:color="auto"/>
              <w:right w:val="single" w:sz="4" w:space="0" w:color="auto"/>
            </w:tcBorders>
            <w:shd w:val="clear" w:color="auto" w:fill="auto"/>
            <w:noWrap/>
            <w:vAlign w:val="bottom"/>
            <w:hideMark/>
          </w:tcPr>
          <w:p w14:paraId="09FC1ED9" w14:textId="77777777" w:rsidR="001F6AFC" w:rsidRPr="001F6AFC" w:rsidRDefault="2248451C" w:rsidP="2248451C">
            <w:pPr>
              <w:spacing w:after="0"/>
              <w:jc w:val="right"/>
              <w:rPr>
                <w:b/>
                <w:bCs/>
                <w:sz w:val="18"/>
                <w:szCs w:val="18"/>
              </w:rPr>
            </w:pPr>
            <w:r w:rsidRPr="2248451C">
              <w:rPr>
                <w:b/>
                <w:bCs/>
                <w:sz w:val="18"/>
                <w:szCs w:val="18"/>
              </w:rPr>
              <w:t xml:space="preserve">-234,8 </w:t>
            </w:r>
          </w:p>
        </w:tc>
        <w:tc>
          <w:tcPr>
            <w:tcW w:w="1180" w:type="dxa"/>
            <w:tcBorders>
              <w:top w:val="nil"/>
              <w:left w:val="nil"/>
              <w:bottom w:val="single" w:sz="4" w:space="0" w:color="auto"/>
              <w:right w:val="single" w:sz="4" w:space="0" w:color="auto"/>
            </w:tcBorders>
            <w:shd w:val="clear" w:color="auto" w:fill="auto"/>
            <w:noWrap/>
            <w:vAlign w:val="bottom"/>
            <w:hideMark/>
          </w:tcPr>
          <w:p w14:paraId="283823B4" w14:textId="77777777" w:rsidR="001F6AFC" w:rsidRPr="001F6AFC" w:rsidRDefault="2248451C" w:rsidP="2248451C">
            <w:pPr>
              <w:spacing w:after="0"/>
              <w:jc w:val="right"/>
              <w:rPr>
                <w:b/>
                <w:bCs/>
                <w:sz w:val="18"/>
                <w:szCs w:val="18"/>
              </w:rPr>
            </w:pPr>
            <w:r w:rsidRPr="2248451C">
              <w:rPr>
                <w:b/>
                <w:bCs/>
                <w:sz w:val="18"/>
                <w:szCs w:val="18"/>
              </w:rPr>
              <w:t xml:space="preserve">20,5 </w:t>
            </w:r>
          </w:p>
        </w:tc>
        <w:tc>
          <w:tcPr>
            <w:tcW w:w="1020" w:type="dxa"/>
            <w:tcBorders>
              <w:top w:val="nil"/>
              <w:left w:val="nil"/>
              <w:bottom w:val="single" w:sz="4" w:space="0" w:color="auto"/>
              <w:right w:val="single" w:sz="4" w:space="0" w:color="auto"/>
            </w:tcBorders>
            <w:shd w:val="clear" w:color="auto" w:fill="auto"/>
            <w:noWrap/>
            <w:vAlign w:val="bottom"/>
            <w:hideMark/>
          </w:tcPr>
          <w:p w14:paraId="0CBE8510" w14:textId="77777777" w:rsidR="001F6AFC" w:rsidRPr="001F6AFC" w:rsidRDefault="2248451C" w:rsidP="2248451C">
            <w:pPr>
              <w:spacing w:after="0"/>
              <w:jc w:val="left"/>
              <w:rPr>
                <w:sz w:val="18"/>
                <w:szCs w:val="18"/>
              </w:rPr>
            </w:pPr>
            <w:r w:rsidRPr="2248451C">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14:paraId="04037408" w14:textId="77777777" w:rsidR="001F6AFC" w:rsidRPr="001F6AFC" w:rsidRDefault="2248451C" w:rsidP="2248451C">
            <w:pPr>
              <w:spacing w:after="0"/>
              <w:jc w:val="right"/>
              <w:rPr>
                <w:b/>
                <w:bCs/>
                <w:sz w:val="18"/>
                <w:szCs w:val="18"/>
              </w:rPr>
            </w:pPr>
            <w:r w:rsidRPr="2248451C">
              <w:rPr>
                <w:b/>
                <w:bCs/>
                <w:sz w:val="18"/>
                <w:szCs w:val="18"/>
              </w:rPr>
              <w:t xml:space="preserve">0,0 </w:t>
            </w:r>
          </w:p>
        </w:tc>
        <w:tc>
          <w:tcPr>
            <w:tcW w:w="1180" w:type="dxa"/>
            <w:tcBorders>
              <w:top w:val="nil"/>
              <w:left w:val="nil"/>
              <w:bottom w:val="single" w:sz="4" w:space="0" w:color="auto"/>
              <w:right w:val="single" w:sz="4" w:space="0" w:color="auto"/>
            </w:tcBorders>
            <w:shd w:val="clear" w:color="auto" w:fill="auto"/>
            <w:noWrap/>
            <w:vAlign w:val="bottom"/>
            <w:hideMark/>
          </w:tcPr>
          <w:p w14:paraId="138719BF" w14:textId="77777777" w:rsidR="001F6AFC" w:rsidRPr="001F6AFC" w:rsidRDefault="2248451C" w:rsidP="2248451C">
            <w:pPr>
              <w:spacing w:after="0"/>
              <w:jc w:val="right"/>
              <w:rPr>
                <w:b/>
                <w:bCs/>
                <w:sz w:val="18"/>
                <w:szCs w:val="18"/>
              </w:rPr>
            </w:pPr>
            <w:r w:rsidRPr="2248451C">
              <w:rPr>
                <w:b/>
                <w:bCs/>
                <w:sz w:val="18"/>
                <w:szCs w:val="18"/>
              </w:rPr>
              <w:t xml:space="preserve">-336,3 </w:t>
            </w:r>
          </w:p>
        </w:tc>
        <w:tc>
          <w:tcPr>
            <w:tcW w:w="1042" w:type="dxa"/>
            <w:tcBorders>
              <w:top w:val="nil"/>
              <w:left w:val="nil"/>
              <w:bottom w:val="single" w:sz="4" w:space="0" w:color="auto"/>
              <w:right w:val="single" w:sz="4" w:space="0" w:color="auto"/>
            </w:tcBorders>
            <w:shd w:val="clear" w:color="auto" w:fill="auto"/>
            <w:noWrap/>
            <w:vAlign w:val="bottom"/>
            <w:hideMark/>
          </w:tcPr>
          <w:p w14:paraId="40F368C3" w14:textId="77777777" w:rsidR="001F6AFC" w:rsidRPr="001F6AFC" w:rsidRDefault="2248451C" w:rsidP="2248451C">
            <w:pPr>
              <w:spacing w:after="0"/>
              <w:jc w:val="right"/>
              <w:rPr>
                <w:sz w:val="18"/>
                <w:szCs w:val="18"/>
              </w:rPr>
            </w:pPr>
            <w:r w:rsidRPr="2248451C">
              <w:rPr>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14:paraId="5506D967" w14:textId="77777777" w:rsidR="001F6AFC" w:rsidRPr="001F6AFC" w:rsidRDefault="2248451C" w:rsidP="2248451C">
            <w:pPr>
              <w:spacing w:after="0"/>
              <w:jc w:val="left"/>
              <w:rPr>
                <w:sz w:val="18"/>
                <w:szCs w:val="18"/>
              </w:rPr>
            </w:pPr>
            <w:r w:rsidRPr="2248451C">
              <w:rPr>
                <w:sz w:val="18"/>
                <w:szCs w:val="18"/>
              </w:rPr>
              <w:t> </w:t>
            </w:r>
          </w:p>
        </w:tc>
      </w:tr>
      <w:tr w:rsidR="001F6AFC" w:rsidRPr="001F6AFC" w14:paraId="76CFAC84" w14:textId="77777777" w:rsidTr="2248451C">
        <w:trPr>
          <w:trHeight w:val="300"/>
        </w:trPr>
        <w:tc>
          <w:tcPr>
            <w:tcW w:w="1841" w:type="dxa"/>
            <w:tcBorders>
              <w:top w:val="nil"/>
              <w:left w:val="single" w:sz="4" w:space="0" w:color="auto"/>
              <w:bottom w:val="single" w:sz="4" w:space="0" w:color="auto"/>
              <w:right w:val="single" w:sz="4" w:space="0" w:color="auto"/>
            </w:tcBorders>
            <w:shd w:val="clear" w:color="auto" w:fill="auto"/>
            <w:vAlign w:val="bottom"/>
            <w:hideMark/>
          </w:tcPr>
          <w:p w14:paraId="62CDAD59" w14:textId="77777777" w:rsidR="001F6AFC" w:rsidRPr="001F6AFC" w:rsidRDefault="2248451C" w:rsidP="2248451C">
            <w:pPr>
              <w:spacing w:after="0"/>
              <w:jc w:val="right"/>
              <w:rPr>
                <w:sz w:val="18"/>
                <w:szCs w:val="18"/>
              </w:rPr>
            </w:pPr>
            <w:r w:rsidRPr="2248451C">
              <w:rPr>
                <w:sz w:val="18"/>
                <w:szCs w:val="18"/>
              </w:rPr>
              <w:t>bevétel:</w:t>
            </w:r>
          </w:p>
        </w:tc>
        <w:tc>
          <w:tcPr>
            <w:tcW w:w="1180" w:type="dxa"/>
            <w:tcBorders>
              <w:top w:val="nil"/>
              <w:left w:val="nil"/>
              <w:bottom w:val="single" w:sz="4" w:space="0" w:color="auto"/>
              <w:right w:val="single" w:sz="4" w:space="0" w:color="auto"/>
            </w:tcBorders>
            <w:shd w:val="clear" w:color="auto" w:fill="auto"/>
            <w:noWrap/>
            <w:vAlign w:val="bottom"/>
            <w:hideMark/>
          </w:tcPr>
          <w:p w14:paraId="07801D8F" w14:textId="77777777" w:rsidR="001F6AFC" w:rsidRPr="001F6AFC" w:rsidRDefault="2248451C" w:rsidP="2248451C">
            <w:pPr>
              <w:spacing w:after="0"/>
              <w:jc w:val="right"/>
              <w:rPr>
                <w:sz w:val="18"/>
                <w:szCs w:val="18"/>
              </w:rPr>
            </w:pPr>
            <w:r w:rsidRPr="2248451C">
              <w:rPr>
                <w:sz w:val="18"/>
                <w:szCs w:val="18"/>
              </w:rPr>
              <w:t xml:space="preserve">5 816,6 </w:t>
            </w:r>
          </w:p>
        </w:tc>
        <w:tc>
          <w:tcPr>
            <w:tcW w:w="1180" w:type="dxa"/>
            <w:tcBorders>
              <w:top w:val="nil"/>
              <w:left w:val="nil"/>
              <w:bottom w:val="single" w:sz="4" w:space="0" w:color="auto"/>
              <w:right w:val="single" w:sz="4" w:space="0" w:color="auto"/>
            </w:tcBorders>
            <w:shd w:val="clear" w:color="auto" w:fill="auto"/>
            <w:noWrap/>
            <w:vAlign w:val="bottom"/>
            <w:hideMark/>
          </w:tcPr>
          <w:p w14:paraId="58FAA27B" w14:textId="77777777" w:rsidR="001F6AFC" w:rsidRPr="001F6AFC" w:rsidRDefault="2248451C" w:rsidP="2248451C">
            <w:pPr>
              <w:spacing w:after="0"/>
              <w:jc w:val="right"/>
              <w:rPr>
                <w:sz w:val="18"/>
                <w:szCs w:val="18"/>
              </w:rPr>
            </w:pPr>
            <w:r w:rsidRPr="2248451C">
              <w:rPr>
                <w:sz w:val="18"/>
                <w:szCs w:val="18"/>
              </w:rPr>
              <w:t xml:space="preserve">3 435,2 </w:t>
            </w:r>
          </w:p>
        </w:tc>
        <w:tc>
          <w:tcPr>
            <w:tcW w:w="1020" w:type="dxa"/>
            <w:tcBorders>
              <w:top w:val="nil"/>
              <w:left w:val="nil"/>
              <w:bottom w:val="single" w:sz="4" w:space="0" w:color="auto"/>
              <w:right w:val="single" w:sz="4" w:space="0" w:color="auto"/>
            </w:tcBorders>
            <w:shd w:val="clear" w:color="auto" w:fill="auto"/>
            <w:noWrap/>
            <w:vAlign w:val="bottom"/>
            <w:hideMark/>
          </w:tcPr>
          <w:p w14:paraId="223836FB" w14:textId="77777777" w:rsidR="001F6AFC" w:rsidRPr="001F6AFC" w:rsidRDefault="2248451C" w:rsidP="2248451C">
            <w:pPr>
              <w:spacing w:after="0"/>
              <w:jc w:val="right"/>
              <w:rPr>
                <w:sz w:val="18"/>
                <w:szCs w:val="18"/>
              </w:rPr>
            </w:pPr>
            <w:r w:rsidRPr="2248451C">
              <w:rPr>
                <w:sz w:val="18"/>
                <w:szCs w:val="18"/>
              </w:rPr>
              <w:t xml:space="preserve">59,1 </w:t>
            </w:r>
          </w:p>
        </w:tc>
        <w:tc>
          <w:tcPr>
            <w:tcW w:w="1180" w:type="dxa"/>
            <w:tcBorders>
              <w:top w:val="nil"/>
              <w:left w:val="nil"/>
              <w:bottom w:val="single" w:sz="4" w:space="0" w:color="auto"/>
              <w:right w:val="single" w:sz="4" w:space="0" w:color="auto"/>
            </w:tcBorders>
            <w:shd w:val="clear" w:color="auto" w:fill="auto"/>
            <w:noWrap/>
            <w:vAlign w:val="bottom"/>
            <w:hideMark/>
          </w:tcPr>
          <w:p w14:paraId="61A1FD0B" w14:textId="77777777" w:rsidR="001F6AFC" w:rsidRPr="001F6AFC" w:rsidRDefault="2248451C" w:rsidP="2248451C">
            <w:pPr>
              <w:spacing w:after="0"/>
              <w:jc w:val="right"/>
              <w:rPr>
                <w:sz w:val="18"/>
                <w:szCs w:val="18"/>
              </w:rPr>
            </w:pPr>
            <w:r w:rsidRPr="2248451C">
              <w:rPr>
                <w:sz w:val="18"/>
                <w:szCs w:val="18"/>
              </w:rPr>
              <w:t xml:space="preserve">6 269,5 </w:t>
            </w:r>
          </w:p>
        </w:tc>
        <w:tc>
          <w:tcPr>
            <w:tcW w:w="1180" w:type="dxa"/>
            <w:tcBorders>
              <w:top w:val="nil"/>
              <w:left w:val="nil"/>
              <w:bottom w:val="single" w:sz="4" w:space="0" w:color="auto"/>
              <w:right w:val="single" w:sz="4" w:space="0" w:color="auto"/>
            </w:tcBorders>
            <w:shd w:val="clear" w:color="auto" w:fill="auto"/>
            <w:noWrap/>
            <w:vAlign w:val="bottom"/>
            <w:hideMark/>
          </w:tcPr>
          <w:p w14:paraId="1E75823D" w14:textId="77777777" w:rsidR="001F6AFC" w:rsidRPr="001F6AFC" w:rsidRDefault="2248451C" w:rsidP="2248451C">
            <w:pPr>
              <w:spacing w:after="0"/>
              <w:jc w:val="right"/>
              <w:rPr>
                <w:sz w:val="18"/>
                <w:szCs w:val="18"/>
              </w:rPr>
            </w:pPr>
            <w:r w:rsidRPr="2248451C">
              <w:rPr>
                <w:sz w:val="18"/>
                <w:szCs w:val="18"/>
              </w:rPr>
              <w:t xml:space="preserve">3 470,5 </w:t>
            </w:r>
          </w:p>
        </w:tc>
        <w:tc>
          <w:tcPr>
            <w:tcW w:w="1042" w:type="dxa"/>
            <w:tcBorders>
              <w:top w:val="nil"/>
              <w:left w:val="nil"/>
              <w:bottom w:val="single" w:sz="4" w:space="0" w:color="auto"/>
              <w:right w:val="single" w:sz="4" w:space="0" w:color="auto"/>
            </w:tcBorders>
            <w:shd w:val="clear" w:color="auto" w:fill="auto"/>
            <w:noWrap/>
            <w:vAlign w:val="bottom"/>
            <w:hideMark/>
          </w:tcPr>
          <w:p w14:paraId="1D121F93" w14:textId="77777777" w:rsidR="001F6AFC" w:rsidRPr="001F6AFC" w:rsidRDefault="2248451C" w:rsidP="2248451C">
            <w:pPr>
              <w:spacing w:after="0"/>
              <w:jc w:val="right"/>
              <w:rPr>
                <w:sz w:val="18"/>
                <w:szCs w:val="18"/>
              </w:rPr>
            </w:pPr>
            <w:r w:rsidRPr="2248451C">
              <w:rPr>
                <w:sz w:val="18"/>
                <w:szCs w:val="18"/>
              </w:rPr>
              <w:t xml:space="preserve">55,4 </w:t>
            </w:r>
          </w:p>
        </w:tc>
        <w:tc>
          <w:tcPr>
            <w:tcW w:w="1000" w:type="dxa"/>
            <w:tcBorders>
              <w:top w:val="nil"/>
              <w:left w:val="nil"/>
              <w:bottom w:val="single" w:sz="4" w:space="0" w:color="auto"/>
              <w:right w:val="single" w:sz="4" w:space="0" w:color="auto"/>
            </w:tcBorders>
            <w:shd w:val="clear" w:color="auto" w:fill="auto"/>
            <w:noWrap/>
            <w:vAlign w:val="bottom"/>
            <w:hideMark/>
          </w:tcPr>
          <w:p w14:paraId="5B5213D5" w14:textId="77777777" w:rsidR="001F6AFC" w:rsidRPr="001F6AFC" w:rsidRDefault="2248451C" w:rsidP="2248451C">
            <w:pPr>
              <w:spacing w:after="0"/>
              <w:jc w:val="right"/>
              <w:rPr>
                <w:sz w:val="18"/>
                <w:szCs w:val="18"/>
              </w:rPr>
            </w:pPr>
            <w:r w:rsidRPr="2248451C">
              <w:rPr>
                <w:sz w:val="18"/>
                <w:szCs w:val="18"/>
              </w:rPr>
              <w:t xml:space="preserve">101,0 </w:t>
            </w:r>
          </w:p>
        </w:tc>
      </w:tr>
      <w:tr w:rsidR="001F6AFC" w:rsidRPr="001F6AFC" w14:paraId="2DBD37C5" w14:textId="77777777" w:rsidTr="2248451C">
        <w:trPr>
          <w:trHeight w:val="300"/>
        </w:trPr>
        <w:tc>
          <w:tcPr>
            <w:tcW w:w="1841" w:type="dxa"/>
            <w:tcBorders>
              <w:top w:val="nil"/>
              <w:left w:val="single" w:sz="4" w:space="0" w:color="auto"/>
              <w:bottom w:val="single" w:sz="4" w:space="0" w:color="auto"/>
              <w:right w:val="single" w:sz="4" w:space="0" w:color="auto"/>
            </w:tcBorders>
            <w:shd w:val="clear" w:color="auto" w:fill="auto"/>
            <w:vAlign w:val="bottom"/>
            <w:hideMark/>
          </w:tcPr>
          <w:p w14:paraId="181A3180" w14:textId="77777777" w:rsidR="001F6AFC" w:rsidRPr="001F6AFC" w:rsidRDefault="2248451C" w:rsidP="2248451C">
            <w:pPr>
              <w:spacing w:after="0"/>
              <w:jc w:val="right"/>
              <w:rPr>
                <w:sz w:val="18"/>
                <w:szCs w:val="18"/>
              </w:rPr>
            </w:pPr>
            <w:r w:rsidRPr="2248451C">
              <w:rPr>
                <w:sz w:val="18"/>
                <w:szCs w:val="18"/>
              </w:rPr>
              <w:t>kiadás:</w:t>
            </w:r>
          </w:p>
        </w:tc>
        <w:tc>
          <w:tcPr>
            <w:tcW w:w="1180" w:type="dxa"/>
            <w:tcBorders>
              <w:top w:val="nil"/>
              <w:left w:val="nil"/>
              <w:bottom w:val="single" w:sz="4" w:space="0" w:color="auto"/>
              <w:right w:val="single" w:sz="4" w:space="0" w:color="auto"/>
            </w:tcBorders>
            <w:shd w:val="clear" w:color="auto" w:fill="auto"/>
            <w:noWrap/>
            <w:vAlign w:val="bottom"/>
            <w:hideMark/>
          </w:tcPr>
          <w:p w14:paraId="3FE9C48E" w14:textId="77777777" w:rsidR="001F6AFC" w:rsidRPr="001F6AFC" w:rsidRDefault="2248451C" w:rsidP="2248451C">
            <w:pPr>
              <w:spacing w:after="0"/>
              <w:jc w:val="right"/>
              <w:rPr>
                <w:sz w:val="18"/>
                <w:szCs w:val="18"/>
              </w:rPr>
            </w:pPr>
            <w:r w:rsidRPr="2248451C">
              <w:rPr>
                <w:sz w:val="18"/>
                <w:szCs w:val="18"/>
              </w:rPr>
              <w:t xml:space="preserve">6 051,4 </w:t>
            </w:r>
          </w:p>
        </w:tc>
        <w:tc>
          <w:tcPr>
            <w:tcW w:w="1180" w:type="dxa"/>
            <w:tcBorders>
              <w:top w:val="nil"/>
              <w:left w:val="nil"/>
              <w:bottom w:val="single" w:sz="4" w:space="0" w:color="auto"/>
              <w:right w:val="single" w:sz="4" w:space="0" w:color="auto"/>
            </w:tcBorders>
            <w:shd w:val="clear" w:color="auto" w:fill="auto"/>
            <w:noWrap/>
            <w:vAlign w:val="bottom"/>
            <w:hideMark/>
          </w:tcPr>
          <w:p w14:paraId="06265940" w14:textId="77777777" w:rsidR="001F6AFC" w:rsidRPr="001F6AFC" w:rsidRDefault="2248451C" w:rsidP="2248451C">
            <w:pPr>
              <w:spacing w:after="0"/>
              <w:jc w:val="right"/>
              <w:rPr>
                <w:sz w:val="18"/>
                <w:szCs w:val="18"/>
              </w:rPr>
            </w:pPr>
            <w:r w:rsidRPr="2248451C">
              <w:rPr>
                <w:sz w:val="18"/>
                <w:szCs w:val="18"/>
              </w:rPr>
              <w:t xml:space="preserve">3 414,7 </w:t>
            </w:r>
          </w:p>
        </w:tc>
        <w:tc>
          <w:tcPr>
            <w:tcW w:w="1020" w:type="dxa"/>
            <w:tcBorders>
              <w:top w:val="nil"/>
              <w:left w:val="nil"/>
              <w:bottom w:val="single" w:sz="4" w:space="0" w:color="auto"/>
              <w:right w:val="single" w:sz="4" w:space="0" w:color="auto"/>
            </w:tcBorders>
            <w:shd w:val="clear" w:color="auto" w:fill="auto"/>
            <w:noWrap/>
            <w:vAlign w:val="bottom"/>
            <w:hideMark/>
          </w:tcPr>
          <w:p w14:paraId="083AA1AD" w14:textId="77777777" w:rsidR="001F6AFC" w:rsidRPr="001F6AFC" w:rsidRDefault="2248451C" w:rsidP="2248451C">
            <w:pPr>
              <w:spacing w:after="0"/>
              <w:jc w:val="right"/>
              <w:rPr>
                <w:sz w:val="18"/>
                <w:szCs w:val="18"/>
              </w:rPr>
            </w:pPr>
            <w:r w:rsidRPr="2248451C">
              <w:rPr>
                <w:sz w:val="18"/>
                <w:szCs w:val="18"/>
              </w:rPr>
              <w:t xml:space="preserve">56,4 </w:t>
            </w:r>
          </w:p>
        </w:tc>
        <w:tc>
          <w:tcPr>
            <w:tcW w:w="1180" w:type="dxa"/>
            <w:tcBorders>
              <w:top w:val="nil"/>
              <w:left w:val="nil"/>
              <w:bottom w:val="single" w:sz="4" w:space="0" w:color="auto"/>
              <w:right w:val="single" w:sz="4" w:space="0" w:color="auto"/>
            </w:tcBorders>
            <w:shd w:val="clear" w:color="auto" w:fill="auto"/>
            <w:noWrap/>
            <w:vAlign w:val="bottom"/>
            <w:hideMark/>
          </w:tcPr>
          <w:p w14:paraId="4C5930E1" w14:textId="77777777" w:rsidR="001F6AFC" w:rsidRPr="001F6AFC" w:rsidRDefault="2248451C" w:rsidP="2248451C">
            <w:pPr>
              <w:spacing w:after="0"/>
              <w:jc w:val="right"/>
              <w:rPr>
                <w:sz w:val="18"/>
                <w:szCs w:val="18"/>
              </w:rPr>
            </w:pPr>
            <w:r w:rsidRPr="2248451C">
              <w:rPr>
                <w:sz w:val="18"/>
                <w:szCs w:val="18"/>
              </w:rPr>
              <w:t xml:space="preserve">6 269,5 </w:t>
            </w:r>
          </w:p>
        </w:tc>
        <w:tc>
          <w:tcPr>
            <w:tcW w:w="1180" w:type="dxa"/>
            <w:tcBorders>
              <w:top w:val="nil"/>
              <w:left w:val="nil"/>
              <w:bottom w:val="single" w:sz="4" w:space="0" w:color="auto"/>
              <w:right w:val="single" w:sz="4" w:space="0" w:color="auto"/>
            </w:tcBorders>
            <w:shd w:val="clear" w:color="auto" w:fill="auto"/>
            <w:noWrap/>
            <w:vAlign w:val="bottom"/>
            <w:hideMark/>
          </w:tcPr>
          <w:p w14:paraId="14B50913" w14:textId="77777777" w:rsidR="001F6AFC" w:rsidRPr="001F6AFC" w:rsidRDefault="2248451C" w:rsidP="2248451C">
            <w:pPr>
              <w:spacing w:after="0"/>
              <w:jc w:val="right"/>
              <w:rPr>
                <w:sz w:val="18"/>
                <w:szCs w:val="18"/>
              </w:rPr>
            </w:pPr>
            <w:r w:rsidRPr="2248451C">
              <w:rPr>
                <w:sz w:val="18"/>
                <w:szCs w:val="18"/>
              </w:rPr>
              <w:t xml:space="preserve">3 806,8 </w:t>
            </w:r>
          </w:p>
        </w:tc>
        <w:tc>
          <w:tcPr>
            <w:tcW w:w="1042" w:type="dxa"/>
            <w:tcBorders>
              <w:top w:val="nil"/>
              <w:left w:val="nil"/>
              <w:bottom w:val="single" w:sz="4" w:space="0" w:color="auto"/>
              <w:right w:val="single" w:sz="4" w:space="0" w:color="auto"/>
            </w:tcBorders>
            <w:shd w:val="clear" w:color="auto" w:fill="auto"/>
            <w:noWrap/>
            <w:vAlign w:val="bottom"/>
            <w:hideMark/>
          </w:tcPr>
          <w:p w14:paraId="0029CF82" w14:textId="77777777" w:rsidR="001F6AFC" w:rsidRPr="001F6AFC" w:rsidRDefault="2248451C" w:rsidP="2248451C">
            <w:pPr>
              <w:spacing w:after="0"/>
              <w:jc w:val="right"/>
              <w:rPr>
                <w:sz w:val="18"/>
                <w:szCs w:val="18"/>
              </w:rPr>
            </w:pPr>
            <w:r w:rsidRPr="2248451C">
              <w:rPr>
                <w:sz w:val="18"/>
                <w:szCs w:val="18"/>
              </w:rPr>
              <w:t xml:space="preserve">60,7 </w:t>
            </w:r>
          </w:p>
        </w:tc>
        <w:tc>
          <w:tcPr>
            <w:tcW w:w="1000" w:type="dxa"/>
            <w:tcBorders>
              <w:top w:val="nil"/>
              <w:left w:val="nil"/>
              <w:bottom w:val="single" w:sz="4" w:space="0" w:color="auto"/>
              <w:right w:val="single" w:sz="4" w:space="0" w:color="auto"/>
            </w:tcBorders>
            <w:shd w:val="clear" w:color="auto" w:fill="auto"/>
            <w:noWrap/>
            <w:vAlign w:val="bottom"/>
            <w:hideMark/>
          </w:tcPr>
          <w:p w14:paraId="5F0A6B24" w14:textId="77777777" w:rsidR="001F6AFC" w:rsidRPr="001F6AFC" w:rsidRDefault="2248451C" w:rsidP="2248451C">
            <w:pPr>
              <w:spacing w:after="0"/>
              <w:jc w:val="right"/>
              <w:rPr>
                <w:sz w:val="18"/>
                <w:szCs w:val="18"/>
              </w:rPr>
            </w:pPr>
            <w:r w:rsidRPr="2248451C">
              <w:rPr>
                <w:sz w:val="18"/>
                <w:szCs w:val="18"/>
              </w:rPr>
              <w:t xml:space="preserve">111,5 </w:t>
            </w:r>
          </w:p>
        </w:tc>
      </w:tr>
      <w:tr w:rsidR="001F6AFC" w:rsidRPr="001F6AFC" w14:paraId="7275619E" w14:textId="77777777" w:rsidTr="2248451C">
        <w:trPr>
          <w:trHeight w:val="300"/>
        </w:trPr>
        <w:tc>
          <w:tcPr>
            <w:tcW w:w="1841" w:type="dxa"/>
            <w:tcBorders>
              <w:top w:val="nil"/>
              <w:left w:val="single" w:sz="4" w:space="0" w:color="auto"/>
              <w:bottom w:val="single" w:sz="4" w:space="0" w:color="auto"/>
              <w:right w:val="single" w:sz="4" w:space="0" w:color="auto"/>
            </w:tcBorders>
            <w:shd w:val="clear" w:color="auto" w:fill="auto"/>
            <w:vAlign w:val="bottom"/>
            <w:hideMark/>
          </w:tcPr>
          <w:p w14:paraId="4F1153D0" w14:textId="77777777" w:rsidR="001F6AFC" w:rsidRPr="001F6AFC" w:rsidRDefault="2248451C" w:rsidP="2248451C">
            <w:pPr>
              <w:spacing w:after="0"/>
              <w:jc w:val="left"/>
              <w:rPr>
                <w:b/>
                <w:bCs/>
                <w:sz w:val="18"/>
                <w:szCs w:val="18"/>
              </w:rPr>
            </w:pPr>
            <w:r w:rsidRPr="2248451C">
              <w:rPr>
                <w:b/>
                <w:bCs/>
                <w:sz w:val="18"/>
                <w:szCs w:val="18"/>
              </w:rPr>
              <w:t>Egyenleg összesen</w:t>
            </w:r>
          </w:p>
        </w:tc>
        <w:tc>
          <w:tcPr>
            <w:tcW w:w="1180" w:type="dxa"/>
            <w:tcBorders>
              <w:top w:val="nil"/>
              <w:left w:val="nil"/>
              <w:bottom w:val="single" w:sz="4" w:space="0" w:color="auto"/>
              <w:right w:val="single" w:sz="4" w:space="0" w:color="auto"/>
            </w:tcBorders>
            <w:shd w:val="clear" w:color="auto" w:fill="auto"/>
            <w:noWrap/>
            <w:vAlign w:val="bottom"/>
            <w:hideMark/>
          </w:tcPr>
          <w:p w14:paraId="66C924D5" w14:textId="77777777" w:rsidR="001F6AFC" w:rsidRPr="001F6AFC" w:rsidRDefault="2248451C" w:rsidP="2248451C">
            <w:pPr>
              <w:spacing w:after="0"/>
              <w:jc w:val="right"/>
              <w:rPr>
                <w:b/>
                <w:bCs/>
                <w:sz w:val="18"/>
                <w:szCs w:val="18"/>
              </w:rPr>
            </w:pPr>
            <w:r w:rsidRPr="2248451C">
              <w:rPr>
                <w:b/>
                <w:bCs/>
                <w:sz w:val="18"/>
                <w:szCs w:val="18"/>
              </w:rPr>
              <w:t xml:space="preserve">-1 219,0 </w:t>
            </w:r>
          </w:p>
        </w:tc>
        <w:tc>
          <w:tcPr>
            <w:tcW w:w="1180" w:type="dxa"/>
            <w:tcBorders>
              <w:top w:val="nil"/>
              <w:left w:val="nil"/>
              <w:bottom w:val="single" w:sz="4" w:space="0" w:color="auto"/>
              <w:right w:val="single" w:sz="4" w:space="0" w:color="auto"/>
            </w:tcBorders>
            <w:shd w:val="clear" w:color="auto" w:fill="auto"/>
            <w:noWrap/>
            <w:vAlign w:val="bottom"/>
            <w:hideMark/>
          </w:tcPr>
          <w:p w14:paraId="4D96EA27" w14:textId="77777777" w:rsidR="001F6AFC" w:rsidRPr="001F6AFC" w:rsidRDefault="2248451C" w:rsidP="2248451C">
            <w:pPr>
              <w:spacing w:after="0"/>
              <w:jc w:val="right"/>
              <w:rPr>
                <w:b/>
                <w:bCs/>
                <w:sz w:val="18"/>
                <w:szCs w:val="18"/>
              </w:rPr>
            </w:pPr>
            <w:r w:rsidRPr="2248451C">
              <w:rPr>
                <w:b/>
                <w:bCs/>
                <w:sz w:val="18"/>
                <w:szCs w:val="18"/>
              </w:rPr>
              <w:t xml:space="preserve">-352,7 </w:t>
            </w:r>
          </w:p>
        </w:tc>
        <w:tc>
          <w:tcPr>
            <w:tcW w:w="1020" w:type="dxa"/>
            <w:tcBorders>
              <w:top w:val="nil"/>
              <w:left w:val="nil"/>
              <w:bottom w:val="single" w:sz="4" w:space="0" w:color="auto"/>
              <w:right w:val="single" w:sz="4" w:space="0" w:color="auto"/>
            </w:tcBorders>
            <w:shd w:val="clear" w:color="auto" w:fill="auto"/>
            <w:noWrap/>
            <w:vAlign w:val="bottom"/>
            <w:hideMark/>
          </w:tcPr>
          <w:p w14:paraId="31A1ADCA" w14:textId="77777777" w:rsidR="001F6AFC" w:rsidRPr="001F6AFC" w:rsidRDefault="2248451C" w:rsidP="2248451C">
            <w:pPr>
              <w:spacing w:after="0"/>
              <w:jc w:val="right"/>
              <w:rPr>
                <w:sz w:val="18"/>
                <w:szCs w:val="18"/>
              </w:rPr>
            </w:pPr>
            <w:r w:rsidRPr="2248451C">
              <w:rPr>
                <w:sz w:val="18"/>
                <w:szCs w:val="18"/>
              </w:rPr>
              <w:t xml:space="preserve">28,9 </w:t>
            </w:r>
          </w:p>
        </w:tc>
        <w:tc>
          <w:tcPr>
            <w:tcW w:w="1180" w:type="dxa"/>
            <w:tcBorders>
              <w:top w:val="nil"/>
              <w:left w:val="nil"/>
              <w:bottom w:val="single" w:sz="4" w:space="0" w:color="auto"/>
              <w:right w:val="single" w:sz="4" w:space="0" w:color="auto"/>
            </w:tcBorders>
            <w:shd w:val="clear" w:color="auto" w:fill="auto"/>
            <w:noWrap/>
            <w:vAlign w:val="bottom"/>
            <w:hideMark/>
          </w:tcPr>
          <w:p w14:paraId="2294ED22" w14:textId="77777777" w:rsidR="001F6AFC" w:rsidRPr="001F6AFC" w:rsidRDefault="2248451C" w:rsidP="2248451C">
            <w:pPr>
              <w:spacing w:after="0"/>
              <w:jc w:val="right"/>
              <w:rPr>
                <w:b/>
                <w:bCs/>
                <w:sz w:val="18"/>
                <w:szCs w:val="18"/>
              </w:rPr>
            </w:pPr>
            <w:r w:rsidRPr="2248451C">
              <w:rPr>
                <w:b/>
                <w:bCs/>
                <w:sz w:val="18"/>
                <w:szCs w:val="18"/>
              </w:rPr>
              <w:t xml:space="preserve">-367,0 </w:t>
            </w:r>
          </w:p>
        </w:tc>
        <w:tc>
          <w:tcPr>
            <w:tcW w:w="1180" w:type="dxa"/>
            <w:tcBorders>
              <w:top w:val="nil"/>
              <w:left w:val="nil"/>
              <w:bottom w:val="single" w:sz="4" w:space="0" w:color="auto"/>
              <w:right w:val="single" w:sz="4" w:space="0" w:color="auto"/>
            </w:tcBorders>
            <w:shd w:val="clear" w:color="auto" w:fill="auto"/>
            <w:noWrap/>
            <w:vAlign w:val="bottom"/>
            <w:hideMark/>
          </w:tcPr>
          <w:p w14:paraId="465A0785" w14:textId="77777777" w:rsidR="001F6AFC" w:rsidRPr="001F6AFC" w:rsidRDefault="2248451C" w:rsidP="2248451C">
            <w:pPr>
              <w:spacing w:after="0"/>
              <w:jc w:val="right"/>
              <w:rPr>
                <w:b/>
                <w:bCs/>
                <w:sz w:val="18"/>
                <w:szCs w:val="18"/>
              </w:rPr>
            </w:pPr>
            <w:r w:rsidRPr="2248451C">
              <w:rPr>
                <w:b/>
                <w:bCs/>
                <w:sz w:val="18"/>
                <w:szCs w:val="18"/>
              </w:rPr>
              <w:t xml:space="preserve">-2 165,0 </w:t>
            </w:r>
          </w:p>
        </w:tc>
        <w:tc>
          <w:tcPr>
            <w:tcW w:w="1042" w:type="dxa"/>
            <w:tcBorders>
              <w:top w:val="nil"/>
              <w:left w:val="nil"/>
              <w:bottom w:val="single" w:sz="4" w:space="0" w:color="auto"/>
              <w:right w:val="single" w:sz="4" w:space="0" w:color="auto"/>
            </w:tcBorders>
            <w:shd w:val="clear" w:color="auto" w:fill="auto"/>
            <w:noWrap/>
            <w:vAlign w:val="bottom"/>
            <w:hideMark/>
          </w:tcPr>
          <w:p w14:paraId="06DF4ED0" w14:textId="77777777" w:rsidR="001F6AFC" w:rsidRPr="001F6AFC" w:rsidRDefault="2248451C" w:rsidP="2248451C">
            <w:pPr>
              <w:spacing w:after="0"/>
              <w:jc w:val="right"/>
              <w:rPr>
                <w:sz w:val="18"/>
                <w:szCs w:val="18"/>
              </w:rPr>
            </w:pPr>
            <w:r w:rsidRPr="2248451C">
              <w:rPr>
                <w:sz w:val="18"/>
                <w:szCs w:val="18"/>
              </w:rPr>
              <w:t xml:space="preserve">589,9 </w:t>
            </w:r>
          </w:p>
        </w:tc>
        <w:tc>
          <w:tcPr>
            <w:tcW w:w="1000" w:type="dxa"/>
            <w:tcBorders>
              <w:top w:val="nil"/>
              <w:left w:val="nil"/>
              <w:bottom w:val="single" w:sz="4" w:space="0" w:color="auto"/>
              <w:right w:val="single" w:sz="4" w:space="0" w:color="auto"/>
            </w:tcBorders>
            <w:shd w:val="clear" w:color="auto" w:fill="auto"/>
            <w:noWrap/>
            <w:vAlign w:val="bottom"/>
            <w:hideMark/>
          </w:tcPr>
          <w:p w14:paraId="3FDF3EB4" w14:textId="77777777" w:rsidR="001F6AFC" w:rsidRPr="001F6AFC" w:rsidRDefault="2248451C" w:rsidP="2248451C">
            <w:pPr>
              <w:spacing w:after="0"/>
              <w:jc w:val="right"/>
              <w:rPr>
                <w:sz w:val="18"/>
                <w:szCs w:val="18"/>
              </w:rPr>
            </w:pPr>
            <w:r w:rsidRPr="2248451C">
              <w:rPr>
                <w:sz w:val="18"/>
                <w:szCs w:val="18"/>
              </w:rPr>
              <w:t xml:space="preserve">613,8 </w:t>
            </w:r>
          </w:p>
        </w:tc>
      </w:tr>
      <w:tr w:rsidR="001F6AFC" w:rsidRPr="001F6AFC" w14:paraId="62168C8B" w14:textId="77777777" w:rsidTr="2248451C">
        <w:trPr>
          <w:trHeight w:val="300"/>
        </w:trPr>
        <w:tc>
          <w:tcPr>
            <w:tcW w:w="1841" w:type="dxa"/>
            <w:tcBorders>
              <w:top w:val="nil"/>
              <w:left w:val="single" w:sz="4" w:space="0" w:color="auto"/>
              <w:bottom w:val="single" w:sz="4" w:space="0" w:color="auto"/>
              <w:right w:val="single" w:sz="4" w:space="0" w:color="auto"/>
            </w:tcBorders>
            <w:shd w:val="clear" w:color="auto" w:fill="auto"/>
            <w:vAlign w:val="bottom"/>
            <w:hideMark/>
          </w:tcPr>
          <w:p w14:paraId="1C2EEFA0" w14:textId="77777777" w:rsidR="001F6AFC" w:rsidRPr="001F6AFC" w:rsidRDefault="2248451C" w:rsidP="2248451C">
            <w:pPr>
              <w:spacing w:after="0"/>
              <w:jc w:val="right"/>
              <w:rPr>
                <w:sz w:val="18"/>
                <w:szCs w:val="18"/>
              </w:rPr>
            </w:pPr>
            <w:r w:rsidRPr="2248451C">
              <w:rPr>
                <w:sz w:val="18"/>
                <w:szCs w:val="18"/>
              </w:rPr>
              <w:t>bevétel:</w:t>
            </w:r>
          </w:p>
        </w:tc>
        <w:tc>
          <w:tcPr>
            <w:tcW w:w="1180" w:type="dxa"/>
            <w:tcBorders>
              <w:top w:val="nil"/>
              <w:left w:val="nil"/>
              <w:bottom w:val="single" w:sz="4" w:space="0" w:color="auto"/>
              <w:right w:val="single" w:sz="4" w:space="0" w:color="auto"/>
            </w:tcBorders>
            <w:shd w:val="clear" w:color="auto" w:fill="auto"/>
            <w:noWrap/>
            <w:vAlign w:val="bottom"/>
            <w:hideMark/>
          </w:tcPr>
          <w:p w14:paraId="4FAB7F1A" w14:textId="77777777" w:rsidR="001F6AFC" w:rsidRPr="001F6AFC" w:rsidRDefault="2248451C" w:rsidP="2248451C">
            <w:pPr>
              <w:spacing w:after="0"/>
              <w:jc w:val="right"/>
              <w:rPr>
                <w:sz w:val="18"/>
                <w:szCs w:val="18"/>
              </w:rPr>
            </w:pPr>
            <w:r w:rsidRPr="2248451C">
              <w:rPr>
                <w:sz w:val="18"/>
                <w:szCs w:val="18"/>
              </w:rPr>
              <w:t xml:space="preserve">21 440,1 </w:t>
            </w:r>
          </w:p>
        </w:tc>
        <w:tc>
          <w:tcPr>
            <w:tcW w:w="1180" w:type="dxa"/>
            <w:tcBorders>
              <w:top w:val="nil"/>
              <w:left w:val="nil"/>
              <w:bottom w:val="single" w:sz="4" w:space="0" w:color="auto"/>
              <w:right w:val="single" w:sz="4" w:space="0" w:color="auto"/>
            </w:tcBorders>
            <w:shd w:val="clear" w:color="auto" w:fill="auto"/>
            <w:noWrap/>
            <w:vAlign w:val="bottom"/>
            <w:hideMark/>
          </w:tcPr>
          <w:p w14:paraId="0137E835" w14:textId="77777777" w:rsidR="001F6AFC" w:rsidRPr="001F6AFC" w:rsidRDefault="2248451C" w:rsidP="2248451C">
            <w:pPr>
              <w:spacing w:after="0"/>
              <w:jc w:val="right"/>
              <w:rPr>
                <w:sz w:val="18"/>
                <w:szCs w:val="18"/>
              </w:rPr>
            </w:pPr>
            <w:r w:rsidRPr="2248451C">
              <w:rPr>
                <w:sz w:val="18"/>
                <w:szCs w:val="18"/>
              </w:rPr>
              <w:t xml:space="preserve">11 959,8 </w:t>
            </w:r>
          </w:p>
        </w:tc>
        <w:tc>
          <w:tcPr>
            <w:tcW w:w="1020" w:type="dxa"/>
            <w:tcBorders>
              <w:top w:val="nil"/>
              <w:left w:val="nil"/>
              <w:bottom w:val="single" w:sz="4" w:space="0" w:color="auto"/>
              <w:right w:val="single" w:sz="4" w:space="0" w:color="auto"/>
            </w:tcBorders>
            <w:shd w:val="clear" w:color="auto" w:fill="auto"/>
            <w:noWrap/>
            <w:vAlign w:val="bottom"/>
            <w:hideMark/>
          </w:tcPr>
          <w:p w14:paraId="58D3F1F9" w14:textId="77777777" w:rsidR="001F6AFC" w:rsidRPr="001F6AFC" w:rsidRDefault="2248451C" w:rsidP="2248451C">
            <w:pPr>
              <w:spacing w:after="0"/>
              <w:jc w:val="right"/>
              <w:rPr>
                <w:sz w:val="18"/>
                <w:szCs w:val="18"/>
              </w:rPr>
            </w:pPr>
            <w:r w:rsidRPr="2248451C">
              <w:rPr>
                <w:sz w:val="18"/>
                <w:szCs w:val="18"/>
              </w:rPr>
              <w:t xml:space="preserve">55,8 </w:t>
            </w:r>
          </w:p>
        </w:tc>
        <w:tc>
          <w:tcPr>
            <w:tcW w:w="1180" w:type="dxa"/>
            <w:tcBorders>
              <w:top w:val="nil"/>
              <w:left w:val="nil"/>
              <w:bottom w:val="single" w:sz="4" w:space="0" w:color="auto"/>
              <w:right w:val="single" w:sz="4" w:space="0" w:color="auto"/>
            </w:tcBorders>
            <w:shd w:val="clear" w:color="auto" w:fill="auto"/>
            <w:noWrap/>
            <w:vAlign w:val="bottom"/>
            <w:hideMark/>
          </w:tcPr>
          <w:p w14:paraId="55F6CA8E" w14:textId="77777777" w:rsidR="001F6AFC" w:rsidRPr="001F6AFC" w:rsidRDefault="2248451C" w:rsidP="2248451C">
            <w:pPr>
              <w:spacing w:after="0"/>
              <w:jc w:val="right"/>
              <w:rPr>
                <w:sz w:val="18"/>
                <w:szCs w:val="18"/>
              </w:rPr>
            </w:pPr>
            <w:r w:rsidRPr="2248451C">
              <w:rPr>
                <w:sz w:val="18"/>
                <w:szCs w:val="18"/>
              </w:rPr>
              <w:t xml:space="preserve">21 425,9 </w:t>
            </w:r>
          </w:p>
        </w:tc>
        <w:tc>
          <w:tcPr>
            <w:tcW w:w="1180" w:type="dxa"/>
            <w:tcBorders>
              <w:top w:val="nil"/>
              <w:left w:val="nil"/>
              <w:bottom w:val="single" w:sz="4" w:space="0" w:color="auto"/>
              <w:right w:val="single" w:sz="4" w:space="0" w:color="auto"/>
            </w:tcBorders>
            <w:shd w:val="clear" w:color="auto" w:fill="auto"/>
            <w:noWrap/>
            <w:vAlign w:val="bottom"/>
            <w:hideMark/>
          </w:tcPr>
          <w:p w14:paraId="77C57A81" w14:textId="77777777" w:rsidR="001F6AFC" w:rsidRPr="001F6AFC" w:rsidRDefault="2248451C" w:rsidP="2248451C">
            <w:pPr>
              <w:spacing w:after="0"/>
              <w:jc w:val="right"/>
              <w:rPr>
                <w:sz w:val="18"/>
                <w:szCs w:val="18"/>
              </w:rPr>
            </w:pPr>
            <w:r w:rsidRPr="2248451C">
              <w:rPr>
                <w:sz w:val="18"/>
                <w:szCs w:val="18"/>
              </w:rPr>
              <w:t xml:space="preserve">12 503,4 </w:t>
            </w:r>
          </w:p>
        </w:tc>
        <w:tc>
          <w:tcPr>
            <w:tcW w:w="1042" w:type="dxa"/>
            <w:tcBorders>
              <w:top w:val="nil"/>
              <w:left w:val="nil"/>
              <w:bottom w:val="single" w:sz="4" w:space="0" w:color="auto"/>
              <w:right w:val="single" w:sz="4" w:space="0" w:color="auto"/>
            </w:tcBorders>
            <w:shd w:val="clear" w:color="auto" w:fill="auto"/>
            <w:noWrap/>
            <w:vAlign w:val="bottom"/>
            <w:hideMark/>
          </w:tcPr>
          <w:p w14:paraId="6DF9ADA8" w14:textId="77777777" w:rsidR="001F6AFC" w:rsidRPr="001F6AFC" w:rsidRDefault="2248451C" w:rsidP="2248451C">
            <w:pPr>
              <w:spacing w:after="0"/>
              <w:jc w:val="right"/>
              <w:rPr>
                <w:sz w:val="18"/>
                <w:szCs w:val="18"/>
              </w:rPr>
            </w:pPr>
            <w:r w:rsidRPr="2248451C">
              <w:rPr>
                <w:sz w:val="18"/>
                <w:szCs w:val="18"/>
              </w:rPr>
              <w:t xml:space="preserve">58,4 </w:t>
            </w:r>
          </w:p>
        </w:tc>
        <w:tc>
          <w:tcPr>
            <w:tcW w:w="1000" w:type="dxa"/>
            <w:tcBorders>
              <w:top w:val="nil"/>
              <w:left w:val="nil"/>
              <w:bottom w:val="single" w:sz="4" w:space="0" w:color="auto"/>
              <w:right w:val="single" w:sz="4" w:space="0" w:color="auto"/>
            </w:tcBorders>
            <w:shd w:val="clear" w:color="auto" w:fill="auto"/>
            <w:noWrap/>
            <w:vAlign w:val="bottom"/>
            <w:hideMark/>
          </w:tcPr>
          <w:p w14:paraId="1E87FD8B" w14:textId="77777777" w:rsidR="001F6AFC" w:rsidRPr="001F6AFC" w:rsidRDefault="2248451C" w:rsidP="2248451C">
            <w:pPr>
              <w:spacing w:after="0"/>
              <w:jc w:val="right"/>
              <w:rPr>
                <w:sz w:val="18"/>
                <w:szCs w:val="18"/>
              </w:rPr>
            </w:pPr>
            <w:r w:rsidRPr="2248451C">
              <w:rPr>
                <w:sz w:val="18"/>
                <w:szCs w:val="18"/>
              </w:rPr>
              <w:t xml:space="preserve">104,5 </w:t>
            </w:r>
          </w:p>
        </w:tc>
      </w:tr>
      <w:tr w:rsidR="001F6AFC" w:rsidRPr="001F6AFC" w14:paraId="78904535" w14:textId="77777777" w:rsidTr="2248451C">
        <w:trPr>
          <w:trHeight w:val="300"/>
        </w:trPr>
        <w:tc>
          <w:tcPr>
            <w:tcW w:w="1841" w:type="dxa"/>
            <w:tcBorders>
              <w:top w:val="nil"/>
              <w:left w:val="single" w:sz="4" w:space="0" w:color="auto"/>
              <w:bottom w:val="single" w:sz="4" w:space="0" w:color="auto"/>
              <w:right w:val="single" w:sz="4" w:space="0" w:color="auto"/>
            </w:tcBorders>
            <w:shd w:val="clear" w:color="auto" w:fill="auto"/>
            <w:vAlign w:val="bottom"/>
            <w:hideMark/>
          </w:tcPr>
          <w:p w14:paraId="161AA28A" w14:textId="77777777" w:rsidR="001F6AFC" w:rsidRPr="001F6AFC" w:rsidRDefault="2248451C" w:rsidP="2248451C">
            <w:pPr>
              <w:spacing w:after="0"/>
              <w:jc w:val="right"/>
              <w:rPr>
                <w:sz w:val="18"/>
                <w:szCs w:val="18"/>
              </w:rPr>
            </w:pPr>
            <w:r w:rsidRPr="2248451C">
              <w:rPr>
                <w:sz w:val="18"/>
                <w:szCs w:val="18"/>
              </w:rPr>
              <w:t>kiadás:</w:t>
            </w:r>
          </w:p>
        </w:tc>
        <w:tc>
          <w:tcPr>
            <w:tcW w:w="1180" w:type="dxa"/>
            <w:tcBorders>
              <w:top w:val="nil"/>
              <w:left w:val="nil"/>
              <w:bottom w:val="single" w:sz="4" w:space="0" w:color="auto"/>
              <w:right w:val="single" w:sz="4" w:space="0" w:color="auto"/>
            </w:tcBorders>
            <w:shd w:val="clear" w:color="auto" w:fill="auto"/>
            <w:noWrap/>
            <w:vAlign w:val="bottom"/>
            <w:hideMark/>
          </w:tcPr>
          <w:p w14:paraId="16DA4D25" w14:textId="77777777" w:rsidR="001F6AFC" w:rsidRPr="001F6AFC" w:rsidRDefault="2248451C" w:rsidP="2248451C">
            <w:pPr>
              <w:spacing w:after="0"/>
              <w:jc w:val="right"/>
              <w:rPr>
                <w:sz w:val="18"/>
                <w:szCs w:val="18"/>
              </w:rPr>
            </w:pPr>
            <w:r w:rsidRPr="2248451C">
              <w:rPr>
                <w:sz w:val="18"/>
                <w:szCs w:val="18"/>
              </w:rPr>
              <w:t xml:space="preserve">22 659,1 </w:t>
            </w:r>
          </w:p>
        </w:tc>
        <w:tc>
          <w:tcPr>
            <w:tcW w:w="1180" w:type="dxa"/>
            <w:tcBorders>
              <w:top w:val="nil"/>
              <w:left w:val="nil"/>
              <w:bottom w:val="single" w:sz="4" w:space="0" w:color="auto"/>
              <w:right w:val="single" w:sz="4" w:space="0" w:color="auto"/>
            </w:tcBorders>
            <w:shd w:val="clear" w:color="auto" w:fill="auto"/>
            <w:noWrap/>
            <w:vAlign w:val="bottom"/>
            <w:hideMark/>
          </w:tcPr>
          <w:p w14:paraId="4FCE4315" w14:textId="77777777" w:rsidR="001F6AFC" w:rsidRPr="001F6AFC" w:rsidRDefault="2248451C" w:rsidP="2248451C">
            <w:pPr>
              <w:spacing w:after="0"/>
              <w:jc w:val="right"/>
              <w:rPr>
                <w:sz w:val="18"/>
                <w:szCs w:val="18"/>
              </w:rPr>
            </w:pPr>
            <w:r w:rsidRPr="2248451C">
              <w:rPr>
                <w:sz w:val="18"/>
                <w:szCs w:val="18"/>
              </w:rPr>
              <w:t xml:space="preserve">12 312,5 </w:t>
            </w:r>
          </w:p>
        </w:tc>
        <w:tc>
          <w:tcPr>
            <w:tcW w:w="1020" w:type="dxa"/>
            <w:tcBorders>
              <w:top w:val="nil"/>
              <w:left w:val="nil"/>
              <w:bottom w:val="single" w:sz="4" w:space="0" w:color="auto"/>
              <w:right w:val="single" w:sz="4" w:space="0" w:color="auto"/>
            </w:tcBorders>
            <w:shd w:val="clear" w:color="auto" w:fill="auto"/>
            <w:noWrap/>
            <w:vAlign w:val="bottom"/>
            <w:hideMark/>
          </w:tcPr>
          <w:p w14:paraId="36F050C6" w14:textId="77777777" w:rsidR="001F6AFC" w:rsidRPr="001F6AFC" w:rsidRDefault="2248451C" w:rsidP="2248451C">
            <w:pPr>
              <w:spacing w:after="0"/>
              <w:jc w:val="right"/>
              <w:rPr>
                <w:sz w:val="18"/>
                <w:szCs w:val="18"/>
              </w:rPr>
            </w:pPr>
            <w:r w:rsidRPr="2248451C">
              <w:rPr>
                <w:sz w:val="18"/>
                <w:szCs w:val="18"/>
              </w:rPr>
              <w:t xml:space="preserve">54,3 </w:t>
            </w:r>
          </w:p>
        </w:tc>
        <w:tc>
          <w:tcPr>
            <w:tcW w:w="1180" w:type="dxa"/>
            <w:tcBorders>
              <w:top w:val="nil"/>
              <w:left w:val="nil"/>
              <w:bottom w:val="single" w:sz="4" w:space="0" w:color="auto"/>
              <w:right w:val="single" w:sz="4" w:space="0" w:color="auto"/>
            </w:tcBorders>
            <w:shd w:val="clear" w:color="auto" w:fill="auto"/>
            <w:noWrap/>
            <w:vAlign w:val="bottom"/>
            <w:hideMark/>
          </w:tcPr>
          <w:p w14:paraId="3C579518" w14:textId="77777777" w:rsidR="001F6AFC" w:rsidRPr="001F6AFC" w:rsidRDefault="2248451C" w:rsidP="2248451C">
            <w:pPr>
              <w:spacing w:after="0"/>
              <w:jc w:val="right"/>
              <w:rPr>
                <w:sz w:val="18"/>
                <w:szCs w:val="18"/>
              </w:rPr>
            </w:pPr>
            <w:r w:rsidRPr="2248451C">
              <w:rPr>
                <w:sz w:val="18"/>
                <w:szCs w:val="18"/>
              </w:rPr>
              <w:t xml:space="preserve">21 792,9 </w:t>
            </w:r>
          </w:p>
        </w:tc>
        <w:tc>
          <w:tcPr>
            <w:tcW w:w="1180" w:type="dxa"/>
            <w:tcBorders>
              <w:top w:val="nil"/>
              <w:left w:val="nil"/>
              <w:bottom w:val="single" w:sz="4" w:space="0" w:color="auto"/>
              <w:right w:val="single" w:sz="4" w:space="0" w:color="auto"/>
            </w:tcBorders>
            <w:shd w:val="clear" w:color="auto" w:fill="auto"/>
            <w:noWrap/>
            <w:vAlign w:val="bottom"/>
            <w:hideMark/>
          </w:tcPr>
          <w:p w14:paraId="06FF9968" w14:textId="77777777" w:rsidR="001F6AFC" w:rsidRPr="001F6AFC" w:rsidRDefault="2248451C" w:rsidP="2248451C">
            <w:pPr>
              <w:spacing w:after="0"/>
              <w:jc w:val="right"/>
              <w:rPr>
                <w:sz w:val="18"/>
                <w:szCs w:val="18"/>
              </w:rPr>
            </w:pPr>
            <w:r w:rsidRPr="2248451C">
              <w:rPr>
                <w:sz w:val="18"/>
                <w:szCs w:val="18"/>
              </w:rPr>
              <w:t xml:space="preserve">14 668,4 </w:t>
            </w:r>
          </w:p>
        </w:tc>
        <w:tc>
          <w:tcPr>
            <w:tcW w:w="1042" w:type="dxa"/>
            <w:tcBorders>
              <w:top w:val="nil"/>
              <w:left w:val="nil"/>
              <w:bottom w:val="single" w:sz="4" w:space="0" w:color="auto"/>
              <w:right w:val="single" w:sz="4" w:space="0" w:color="auto"/>
            </w:tcBorders>
            <w:shd w:val="clear" w:color="auto" w:fill="auto"/>
            <w:noWrap/>
            <w:vAlign w:val="bottom"/>
            <w:hideMark/>
          </w:tcPr>
          <w:p w14:paraId="16ACDC89" w14:textId="77777777" w:rsidR="001F6AFC" w:rsidRPr="001F6AFC" w:rsidRDefault="2248451C" w:rsidP="2248451C">
            <w:pPr>
              <w:spacing w:after="0"/>
              <w:jc w:val="right"/>
              <w:rPr>
                <w:sz w:val="18"/>
                <w:szCs w:val="18"/>
              </w:rPr>
            </w:pPr>
            <w:r w:rsidRPr="2248451C">
              <w:rPr>
                <w:sz w:val="18"/>
                <w:szCs w:val="18"/>
              </w:rPr>
              <w:t xml:space="preserve">67,3 </w:t>
            </w:r>
          </w:p>
        </w:tc>
        <w:tc>
          <w:tcPr>
            <w:tcW w:w="1000" w:type="dxa"/>
            <w:tcBorders>
              <w:top w:val="nil"/>
              <w:left w:val="nil"/>
              <w:bottom w:val="single" w:sz="4" w:space="0" w:color="auto"/>
              <w:right w:val="single" w:sz="4" w:space="0" w:color="auto"/>
            </w:tcBorders>
            <w:shd w:val="clear" w:color="auto" w:fill="auto"/>
            <w:noWrap/>
            <w:vAlign w:val="bottom"/>
            <w:hideMark/>
          </w:tcPr>
          <w:p w14:paraId="00953EA1" w14:textId="77777777" w:rsidR="001F6AFC" w:rsidRPr="001F6AFC" w:rsidRDefault="2248451C" w:rsidP="2248451C">
            <w:pPr>
              <w:spacing w:after="0"/>
              <w:jc w:val="right"/>
              <w:rPr>
                <w:sz w:val="18"/>
                <w:szCs w:val="18"/>
              </w:rPr>
            </w:pPr>
            <w:r w:rsidRPr="2248451C">
              <w:rPr>
                <w:sz w:val="18"/>
                <w:szCs w:val="18"/>
              </w:rPr>
              <w:t xml:space="preserve">119,1 </w:t>
            </w:r>
          </w:p>
        </w:tc>
      </w:tr>
    </w:tbl>
    <w:p w14:paraId="5D4F01B8" w14:textId="77777777" w:rsidR="003C135C" w:rsidRDefault="2248451C" w:rsidP="003C135C">
      <w:pPr>
        <w:pStyle w:val="Cmsor2"/>
        <w:spacing w:before="0" w:after="120"/>
      </w:pPr>
      <w:r>
        <w:lastRenderedPageBreak/>
        <w:t xml:space="preserve">A központi alrendszer pénzügyi folyamatainak </w:t>
      </w:r>
      <w:r w:rsidR="6D01B43F">
        <w:br/>
      </w:r>
      <w:r>
        <w:t>alakulása</w:t>
      </w:r>
    </w:p>
    <w:p w14:paraId="49F8AB94" w14:textId="77777777" w:rsidR="00953258" w:rsidRPr="00953258" w:rsidRDefault="00953258" w:rsidP="00953258"/>
    <w:p w14:paraId="16926C64" w14:textId="1C5FE3C5" w:rsidR="00D05D14" w:rsidRPr="00D05D14" w:rsidRDefault="2248451C" w:rsidP="00D05D14">
      <w:pPr>
        <w:pStyle w:val="Cmsor3"/>
        <w:numPr>
          <w:ilvl w:val="0"/>
          <w:numId w:val="8"/>
        </w:numPr>
        <w:spacing w:before="0" w:after="120"/>
        <w:jc w:val="left"/>
      </w:pPr>
      <w:r w:rsidRPr="2248451C">
        <w:rPr>
          <w:sz w:val="26"/>
          <w:szCs w:val="26"/>
        </w:rPr>
        <w:t>A főbb bevételek</w:t>
      </w:r>
    </w:p>
    <w:p w14:paraId="0934DE71" w14:textId="529219B5" w:rsidR="0019520F" w:rsidRPr="0019520F" w:rsidRDefault="2248451C" w:rsidP="2248451C">
      <w:pPr>
        <w:rPr>
          <w:b/>
          <w:bCs/>
        </w:rPr>
      </w:pPr>
      <w:r w:rsidRPr="2248451C">
        <w:rPr>
          <w:b/>
          <w:bCs/>
        </w:rPr>
        <w:t>A központi alrendszer 2020. évi július végi 12 503,4 milliárd forint összegű bevételei az előző év azonos időszakához képest 543,6 milliárd forinttal, 4,5%-kal magasabb összegben alakultak. Ezen belül kiemelhető, hogy növekedtek a személyi jövedelemadóból, a társasági adóból, valamint a nyugdíj</w:t>
      </w:r>
      <w:r w:rsidR="00DE67DF">
        <w:rPr>
          <w:b/>
          <w:bCs/>
        </w:rPr>
        <w:t>-</w:t>
      </w:r>
      <w:r w:rsidRPr="2248451C">
        <w:rPr>
          <w:b/>
          <w:bCs/>
        </w:rPr>
        <w:t>, egészségbiztosítási és munkaerő-piaci járulékokból származó bevételek. Mindezek mellett lényegesen magasabb összegben teljesültek a költségvetési szervek bevételei és a szakmai fejezeti kezelésű előirányzatok saját bevételei, az állami vagyonnal kapcsolatos befizetések és a Központi Maradványalapba történő befizetések is. Az uniós programok bevételei is jelentősen meghaladták az egy évvel korábbi összeget. Elmaradtak viszont az előző év azonos időszakának teljesülésétől az általános forgalmi adóból és a szociális hozzájárulási adóból származó bevételek</w:t>
      </w:r>
      <w:r w:rsidR="00BE3C93">
        <w:rPr>
          <w:b/>
          <w:bCs/>
        </w:rPr>
        <w:t>.</w:t>
      </w:r>
      <w:r w:rsidRPr="2248451C">
        <w:rPr>
          <w:b/>
          <w:bCs/>
        </w:rPr>
        <w:t xml:space="preserve"> </w:t>
      </w:r>
    </w:p>
    <w:p w14:paraId="7E4823C7" w14:textId="77777777" w:rsidR="00D775FA" w:rsidRPr="00D775FA" w:rsidRDefault="00D775FA" w:rsidP="00D775FA">
      <w:pPr>
        <w:rPr>
          <w:b/>
          <w:bCs/>
        </w:rPr>
      </w:pPr>
    </w:p>
    <w:p w14:paraId="79037A7F" w14:textId="712101F1" w:rsidR="002918E0" w:rsidRDefault="0002749C" w:rsidP="00483A53">
      <w:pPr>
        <w:rPr>
          <w:szCs w:val="26"/>
        </w:rPr>
      </w:pPr>
      <w:r>
        <w:rPr>
          <w:noProof/>
          <w:szCs w:val="26"/>
        </w:rPr>
        <w:drawing>
          <wp:inline distT="0" distB="0" distL="0" distR="0" wp14:anchorId="1A547702" wp14:editId="5C2C291F">
            <wp:extent cx="5940425" cy="2286000"/>
            <wp:effectExtent l="0" t="0" r="317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vétel_megoszlás.png"/>
                    <pic:cNvPicPr/>
                  </pic:nvPicPr>
                  <pic:blipFill>
                    <a:blip r:embed="rId15">
                      <a:extLst>
                        <a:ext uri="{28A0092B-C50C-407E-A947-70E740481C1C}">
                          <a14:useLocalDpi xmlns:a14="http://schemas.microsoft.com/office/drawing/2010/main" val="0"/>
                        </a:ext>
                      </a:extLst>
                    </a:blip>
                    <a:stretch>
                      <a:fillRect/>
                    </a:stretch>
                  </pic:blipFill>
                  <pic:spPr>
                    <a:xfrm>
                      <a:off x="0" y="0"/>
                      <a:ext cx="5940425" cy="2286000"/>
                    </a:xfrm>
                    <a:prstGeom prst="rect">
                      <a:avLst/>
                    </a:prstGeom>
                  </pic:spPr>
                </pic:pic>
              </a:graphicData>
            </a:graphic>
          </wp:inline>
        </w:drawing>
      </w:r>
    </w:p>
    <w:p w14:paraId="45B8F301" w14:textId="77777777" w:rsidR="0002749C" w:rsidRDefault="0002749C" w:rsidP="00483A53">
      <w:pPr>
        <w:rPr>
          <w:szCs w:val="26"/>
        </w:rPr>
      </w:pPr>
    </w:p>
    <w:p w14:paraId="34DB17C8" w14:textId="7FC5BECD" w:rsidR="00F2315A" w:rsidRDefault="2248451C" w:rsidP="00E75B9B">
      <w:pPr>
        <w:spacing w:before="120"/>
      </w:pPr>
      <w:r w:rsidRPr="2248451C">
        <w:rPr>
          <w:b/>
          <w:bCs/>
        </w:rPr>
        <w:t>Társasági adó</w:t>
      </w:r>
      <w:r>
        <w:t xml:space="preserve"> jogcímen 2020 első hét hónapjában 192,0 milliárd forint bevétel realizálódott, amely az előző év azonos időszakához képest 53,7 milliárd forinttal magasabb. A bázisévhez viszonyítva az eltérést a december havi adóelőleg-kiegészítés eltörlése okozza, melynek következtében a 2019. negyedik negyedévi kötelezettségek befizetése 2020 januárjában teljesült. </w:t>
      </w:r>
      <w:r w:rsidR="00F804F9">
        <w:t>S</w:t>
      </w:r>
      <w:r>
        <w:t xml:space="preserve">zintén a feltöltés eltörlése következtében az adózók a korábbinál kisebb összegben rendelkeztek az adójukról a decemberi adóelőleg-kiegészítéshez kapcsolódóan, így ezek kiutalásából is kevesebb húzódott át 2020 januárjára. Ezen túlmenően az adóelőleg-kötelezettségek is magasabbak voltak. Ezeket a hatásokat az sem tudta ellensúlyozni, hogy a 140/2020. (IV. 21.) </w:t>
      </w:r>
      <w:r w:rsidR="00F470CB">
        <w:t>K</w:t>
      </w:r>
      <w:r>
        <w:t>orm</w:t>
      </w:r>
      <w:r w:rsidR="00F470CB">
        <w:t xml:space="preserve">. </w:t>
      </w:r>
      <w:r>
        <w:t>rendelet alapján a társasági adó adómegállapítási, bevallási és fizetési kötelezettségnek május vége helyett szeptember 30-ig lehet eleget tenni.</w:t>
      </w:r>
    </w:p>
    <w:p w14:paraId="36F2DF75" w14:textId="16C8E039" w:rsidR="000851FF" w:rsidRDefault="2248451C" w:rsidP="00E75B9B">
      <w:pPr>
        <w:spacing w:before="120"/>
      </w:pPr>
      <w:r>
        <w:t xml:space="preserve">Az </w:t>
      </w:r>
      <w:r w:rsidRPr="2248451C">
        <w:rPr>
          <w:b/>
          <w:bCs/>
        </w:rPr>
        <w:t>egyéb központosított bevételekből</w:t>
      </w:r>
      <w:r>
        <w:t xml:space="preserve"> július végéig összesen 330,3 milliárd forint bevétel teljesült, amely a törvényi előirányzat 56,4%-ának felel meg. Ezen belül kiemelendő az elektronikus útdíj 118,7 milliárd forintot kitevő összege.</w:t>
      </w:r>
    </w:p>
    <w:tbl>
      <w:tblPr>
        <w:tblW w:w="7936" w:type="dxa"/>
        <w:tblInd w:w="496" w:type="dxa"/>
        <w:tblCellMar>
          <w:left w:w="70" w:type="dxa"/>
          <w:right w:w="70" w:type="dxa"/>
        </w:tblCellMar>
        <w:tblLook w:val="04A0" w:firstRow="1" w:lastRow="0" w:firstColumn="1" w:lastColumn="0" w:noHBand="0" w:noVBand="1"/>
      </w:tblPr>
      <w:tblGrid>
        <w:gridCol w:w="2976"/>
        <w:gridCol w:w="1418"/>
        <w:gridCol w:w="1417"/>
        <w:gridCol w:w="1276"/>
        <w:gridCol w:w="849"/>
      </w:tblGrid>
      <w:tr w:rsidR="00723EB0" w:rsidRPr="00723EB0" w14:paraId="2D01000F" w14:textId="77777777" w:rsidTr="2248451C">
        <w:trPr>
          <w:trHeight w:val="396"/>
        </w:trPr>
        <w:tc>
          <w:tcPr>
            <w:tcW w:w="7936" w:type="dxa"/>
            <w:gridSpan w:val="5"/>
            <w:tcBorders>
              <w:top w:val="nil"/>
              <w:left w:val="nil"/>
              <w:bottom w:val="nil"/>
              <w:right w:val="nil"/>
            </w:tcBorders>
            <w:shd w:val="clear" w:color="auto" w:fill="auto"/>
            <w:noWrap/>
            <w:vAlign w:val="bottom"/>
            <w:hideMark/>
          </w:tcPr>
          <w:p w14:paraId="7F925CD9" w14:textId="0473474D" w:rsidR="00723EB0" w:rsidRPr="00723EB0" w:rsidRDefault="2248451C" w:rsidP="2248451C">
            <w:pPr>
              <w:ind w:left="512" w:hanging="512"/>
              <w:jc w:val="center"/>
              <w:rPr>
                <w:b/>
                <w:bCs/>
                <w:color w:val="000000" w:themeColor="text1"/>
                <w:sz w:val="20"/>
              </w:rPr>
            </w:pPr>
            <w:r w:rsidRPr="2248451C">
              <w:rPr>
                <w:b/>
                <w:bCs/>
                <w:color w:val="000000" w:themeColor="text1"/>
                <w:sz w:val="20"/>
              </w:rPr>
              <w:lastRenderedPageBreak/>
              <w:t>Egyéb központosított bevételek alakulása (millió forint)</w:t>
            </w:r>
          </w:p>
        </w:tc>
      </w:tr>
      <w:tr w:rsidR="00780F67" w:rsidRPr="00723EB0" w14:paraId="40D4C144" w14:textId="77777777" w:rsidTr="2248451C">
        <w:trPr>
          <w:trHeight w:val="435"/>
        </w:trPr>
        <w:tc>
          <w:tcPr>
            <w:tcW w:w="2976" w:type="dxa"/>
            <w:vMerge w:val="restart"/>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1237094F" w14:textId="77777777" w:rsidR="00780F67" w:rsidRPr="00723EB0" w:rsidRDefault="2248451C" w:rsidP="2248451C">
            <w:pPr>
              <w:ind w:left="512" w:hanging="512"/>
              <w:jc w:val="center"/>
              <w:rPr>
                <w:b/>
                <w:bCs/>
                <w:color w:val="000000" w:themeColor="text1"/>
                <w:sz w:val="20"/>
              </w:rPr>
            </w:pPr>
            <w:r w:rsidRPr="2248451C">
              <w:rPr>
                <w:b/>
                <w:bCs/>
                <w:color w:val="000000" w:themeColor="text1"/>
                <w:sz w:val="20"/>
              </w:rPr>
              <w:t>Megnevezés</w:t>
            </w:r>
          </w:p>
        </w:tc>
        <w:tc>
          <w:tcPr>
            <w:tcW w:w="1418" w:type="dxa"/>
            <w:vMerge w:val="restart"/>
            <w:tcBorders>
              <w:top w:val="single" w:sz="8" w:space="0" w:color="auto"/>
              <w:left w:val="single" w:sz="8" w:space="0" w:color="auto"/>
              <w:bottom w:val="single" w:sz="8" w:space="0" w:color="000000" w:themeColor="text1"/>
              <w:right w:val="single" w:sz="4" w:space="0" w:color="auto"/>
            </w:tcBorders>
            <w:shd w:val="clear" w:color="auto" w:fill="auto"/>
            <w:vAlign w:val="center"/>
            <w:hideMark/>
          </w:tcPr>
          <w:p w14:paraId="646CC402" w14:textId="334EAE4B" w:rsidR="00780F67" w:rsidRPr="00723EB0" w:rsidRDefault="2248451C" w:rsidP="2248451C">
            <w:pPr>
              <w:spacing w:after="0"/>
              <w:jc w:val="center"/>
              <w:rPr>
                <w:b/>
                <w:bCs/>
                <w:sz w:val="20"/>
              </w:rPr>
            </w:pPr>
            <w:r w:rsidRPr="2248451C">
              <w:rPr>
                <w:b/>
                <w:bCs/>
                <w:sz w:val="20"/>
              </w:rPr>
              <w:t>2019. I-VII. hó</w:t>
            </w:r>
          </w:p>
        </w:tc>
        <w:tc>
          <w:tcPr>
            <w:tcW w:w="1417" w:type="dxa"/>
            <w:vMerge w:val="restart"/>
            <w:tcBorders>
              <w:top w:val="single" w:sz="8" w:space="0" w:color="auto"/>
              <w:left w:val="single" w:sz="4" w:space="0" w:color="auto"/>
              <w:bottom w:val="single" w:sz="8" w:space="0" w:color="000000" w:themeColor="text1"/>
              <w:right w:val="single" w:sz="8" w:space="0" w:color="auto"/>
            </w:tcBorders>
            <w:shd w:val="clear" w:color="auto" w:fill="auto"/>
            <w:vAlign w:val="center"/>
            <w:hideMark/>
          </w:tcPr>
          <w:p w14:paraId="3BA8764A" w14:textId="1C1F661E" w:rsidR="00780F67" w:rsidRPr="00723EB0" w:rsidRDefault="2248451C" w:rsidP="2248451C">
            <w:pPr>
              <w:spacing w:after="0"/>
              <w:ind w:left="512" w:hanging="512"/>
              <w:jc w:val="center"/>
              <w:rPr>
                <w:b/>
                <w:bCs/>
                <w:sz w:val="20"/>
              </w:rPr>
            </w:pPr>
            <w:r w:rsidRPr="2248451C">
              <w:rPr>
                <w:b/>
                <w:bCs/>
                <w:sz w:val="20"/>
              </w:rPr>
              <w:t>2020. I-VII. hó</w:t>
            </w:r>
          </w:p>
        </w:tc>
        <w:tc>
          <w:tcPr>
            <w:tcW w:w="2125" w:type="dxa"/>
            <w:gridSpan w:val="2"/>
            <w:tcBorders>
              <w:top w:val="single" w:sz="8" w:space="0" w:color="auto"/>
              <w:left w:val="nil"/>
              <w:bottom w:val="single" w:sz="4" w:space="0" w:color="auto"/>
              <w:right w:val="single" w:sz="8" w:space="0" w:color="000000" w:themeColor="text1"/>
            </w:tcBorders>
            <w:shd w:val="clear" w:color="auto" w:fill="auto"/>
            <w:noWrap/>
            <w:vAlign w:val="center"/>
            <w:hideMark/>
          </w:tcPr>
          <w:p w14:paraId="48CECE7F" w14:textId="77777777" w:rsidR="00780F67" w:rsidRPr="00723EB0" w:rsidRDefault="2248451C" w:rsidP="2248451C">
            <w:pPr>
              <w:ind w:left="512" w:hanging="512"/>
              <w:jc w:val="center"/>
              <w:rPr>
                <w:b/>
                <w:bCs/>
                <w:color w:val="000000" w:themeColor="text1"/>
                <w:sz w:val="20"/>
              </w:rPr>
            </w:pPr>
            <w:r w:rsidRPr="2248451C">
              <w:rPr>
                <w:b/>
                <w:bCs/>
                <w:color w:val="000000" w:themeColor="text1"/>
                <w:sz w:val="20"/>
              </w:rPr>
              <w:t>Eltérés</w:t>
            </w:r>
          </w:p>
        </w:tc>
      </w:tr>
      <w:tr w:rsidR="00780F67" w:rsidRPr="00723EB0" w14:paraId="410332D0" w14:textId="77777777" w:rsidTr="2248451C">
        <w:trPr>
          <w:trHeight w:val="373"/>
        </w:trPr>
        <w:tc>
          <w:tcPr>
            <w:tcW w:w="2976" w:type="dxa"/>
            <w:vMerge/>
            <w:tcBorders>
              <w:top w:val="single" w:sz="8" w:space="0" w:color="auto"/>
              <w:left w:val="single" w:sz="8" w:space="0" w:color="auto"/>
              <w:bottom w:val="single" w:sz="8" w:space="0" w:color="000000"/>
              <w:right w:val="single" w:sz="8" w:space="0" w:color="auto"/>
            </w:tcBorders>
            <w:vAlign w:val="center"/>
            <w:hideMark/>
          </w:tcPr>
          <w:p w14:paraId="3D073375" w14:textId="5394FFB6" w:rsidR="00780F67" w:rsidRPr="00723EB0" w:rsidRDefault="00780F67" w:rsidP="00D432CD">
            <w:pPr>
              <w:ind w:left="512" w:hanging="512"/>
              <w:jc w:val="center"/>
              <w:rPr>
                <w:b/>
                <w:bCs/>
                <w:color w:val="000000" w:themeColor="text1"/>
                <w:sz w:val="20"/>
              </w:rPr>
            </w:pPr>
          </w:p>
        </w:tc>
        <w:tc>
          <w:tcPr>
            <w:tcW w:w="1418" w:type="dxa"/>
            <w:vMerge/>
            <w:tcBorders>
              <w:top w:val="single" w:sz="8" w:space="0" w:color="auto"/>
              <w:left w:val="single" w:sz="8" w:space="0" w:color="auto"/>
              <w:bottom w:val="single" w:sz="8" w:space="0" w:color="000000"/>
              <w:right w:val="single" w:sz="4" w:space="0" w:color="auto"/>
            </w:tcBorders>
            <w:vAlign w:val="center"/>
            <w:hideMark/>
          </w:tcPr>
          <w:p w14:paraId="584DDC9B" w14:textId="77777777" w:rsidR="00780F67" w:rsidRPr="00723EB0" w:rsidRDefault="00780F67" w:rsidP="00D432CD">
            <w:pPr>
              <w:ind w:left="512" w:hanging="512"/>
              <w:jc w:val="center"/>
              <w:rPr>
                <w:b/>
                <w:bCs/>
                <w:color w:val="000000" w:themeColor="text1"/>
                <w:sz w:val="20"/>
              </w:rPr>
            </w:pPr>
          </w:p>
        </w:tc>
        <w:tc>
          <w:tcPr>
            <w:tcW w:w="1417" w:type="dxa"/>
            <w:vMerge/>
            <w:tcBorders>
              <w:top w:val="single" w:sz="8" w:space="0" w:color="auto"/>
              <w:left w:val="single" w:sz="4" w:space="0" w:color="auto"/>
              <w:bottom w:val="single" w:sz="8" w:space="0" w:color="000000"/>
              <w:right w:val="single" w:sz="8" w:space="0" w:color="auto"/>
            </w:tcBorders>
            <w:vAlign w:val="center"/>
            <w:hideMark/>
          </w:tcPr>
          <w:p w14:paraId="3E14FCA0" w14:textId="77777777" w:rsidR="00780F67" w:rsidRPr="00723EB0" w:rsidRDefault="00780F67" w:rsidP="00D432CD">
            <w:pPr>
              <w:ind w:left="512" w:hanging="512"/>
              <w:jc w:val="center"/>
              <w:rPr>
                <w:b/>
                <w:bCs/>
                <w:color w:val="000000" w:themeColor="text1"/>
                <w:sz w:val="20"/>
              </w:rPr>
            </w:pPr>
          </w:p>
        </w:tc>
        <w:tc>
          <w:tcPr>
            <w:tcW w:w="1276" w:type="dxa"/>
            <w:tcBorders>
              <w:top w:val="nil"/>
              <w:left w:val="nil"/>
              <w:bottom w:val="single" w:sz="8" w:space="0" w:color="auto"/>
              <w:right w:val="single" w:sz="4" w:space="0" w:color="auto"/>
            </w:tcBorders>
            <w:shd w:val="clear" w:color="auto" w:fill="auto"/>
            <w:vAlign w:val="center"/>
            <w:hideMark/>
          </w:tcPr>
          <w:p w14:paraId="462C698E" w14:textId="09D55B70" w:rsidR="00780F67" w:rsidRPr="00723EB0" w:rsidRDefault="2248451C" w:rsidP="2248451C">
            <w:pPr>
              <w:spacing w:after="0"/>
              <w:ind w:left="512" w:hanging="512"/>
              <w:jc w:val="center"/>
              <w:rPr>
                <w:b/>
                <w:bCs/>
                <w:color w:val="000000" w:themeColor="text1"/>
                <w:sz w:val="20"/>
              </w:rPr>
            </w:pPr>
            <w:r w:rsidRPr="2248451C">
              <w:rPr>
                <w:b/>
                <w:bCs/>
                <w:color w:val="000000" w:themeColor="text1"/>
                <w:sz w:val="20"/>
              </w:rPr>
              <w:t>millió forint</w:t>
            </w:r>
          </w:p>
        </w:tc>
        <w:tc>
          <w:tcPr>
            <w:tcW w:w="849" w:type="dxa"/>
            <w:tcBorders>
              <w:top w:val="nil"/>
              <w:left w:val="nil"/>
              <w:bottom w:val="single" w:sz="8" w:space="0" w:color="auto"/>
              <w:right w:val="single" w:sz="8" w:space="0" w:color="auto"/>
            </w:tcBorders>
            <w:shd w:val="clear" w:color="auto" w:fill="auto"/>
            <w:noWrap/>
            <w:vAlign w:val="center"/>
            <w:hideMark/>
          </w:tcPr>
          <w:p w14:paraId="30DA47DA" w14:textId="77777777" w:rsidR="00780F67" w:rsidRPr="00723EB0" w:rsidRDefault="2248451C" w:rsidP="2248451C">
            <w:pPr>
              <w:spacing w:after="0"/>
              <w:ind w:left="512" w:hanging="512"/>
              <w:jc w:val="center"/>
              <w:rPr>
                <w:color w:val="000000" w:themeColor="text1"/>
                <w:sz w:val="22"/>
                <w:szCs w:val="22"/>
              </w:rPr>
            </w:pPr>
            <w:r w:rsidRPr="2248451C">
              <w:rPr>
                <w:color w:val="000000" w:themeColor="text1"/>
                <w:sz w:val="22"/>
                <w:szCs w:val="22"/>
              </w:rPr>
              <w:t>%</w:t>
            </w:r>
          </w:p>
        </w:tc>
      </w:tr>
      <w:tr w:rsidR="001C6D64" w:rsidRPr="00923DEB" w14:paraId="753D6CE2" w14:textId="77777777" w:rsidTr="2248451C">
        <w:trPr>
          <w:trHeight w:val="319"/>
        </w:trPr>
        <w:tc>
          <w:tcPr>
            <w:tcW w:w="2976" w:type="dxa"/>
            <w:tcBorders>
              <w:top w:val="nil"/>
              <w:left w:val="single" w:sz="8" w:space="0" w:color="auto"/>
              <w:bottom w:val="single" w:sz="4" w:space="0" w:color="auto"/>
              <w:right w:val="single" w:sz="8" w:space="0" w:color="auto"/>
            </w:tcBorders>
            <w:shd w:val="clear" w:color="auto" w:fill="auto"/>
            <w:noWrap/>
            <w:vAlign w:val="center"/>
            <w:hideMark/>
          </w:tcPr>
          <w:p w14:paraId="32C12D61" w14:textId="30A00391" w:rsidR="001C6D64" w:rsidRPr="00723EB0" w:rsidRDefault="2248451C" w:rsidP="2248451C">
            <w:pPr>
              <w:overflowPunct w:val="0"/>
              <w:autoSpaceDE w:val="0"/>
              <w:autoSpaceDN w:val="0"/>
              <w:adjustRightInd w:val="0"/>
              <w:ind w:left="512" w:hanging="512"/>
              <w:textAlignment w:val="baseline"/>
              <w:rPr>
                <w:color w:val="000000" w:themeColor="text1"/>
                <w:sz w:val="20"/>
              </w:rPr>
            </w:pPr>
            <w:r w:rsidRPr="2248451C">
              <w:rPr>
                <w:color w:val="000000" w:themeColor="text1"/>
                <w:sz w:val="20"/>
              </w:rPr>
              <w:t>Rehabilitációs hozzájárulás</w:t>
            </w:r>
          </w:p>
        </w:tc>
        <w:tc>
          <w:tcPr>
            <w:tcW w:w="1418" w:type="dxa"/>
            <w:tcBorders>
              <w:top w:val="nil"/>
              <w:left w:val="single" w:sz="4" w:space="0" w:color="auto"/>
              <w:bottom w:val="single" w:sz="4" w:space="0" w:color="auto"/>
              <w:right w:val="single" w:sz="8" w:space="0" w:color="auto"/>
            </w:tcBorders>
            <w:shd w:val="clear" w:color="auto" w:fill="auto"/>
            <w:noWrap/>
          </w:tcPr>
          <w:p w14:paraId="37F6B795" w14:textId="117C90E9"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72 672,5</w:t>
            </w:r>
          </w:p>
        </w:tc>
        <w:tc>
          <w:tcPr>
            <w:tcW w:w="1417" w:type="dxa"/>
            <w:tcBorders>
              <w:top w:val="nil"/>
              <w:left w:val="single" w:sz="4" w:space="0" w:color="auto"/>
              <w:bottom w:val="single" w:sz="4" w:space="0" w:color="auto"/>
              <w:right w:val="single" w:sz="8" w:space="0" w:color="auto"/>
            </w:tcBorders>
            <w:shd w:val="clear" w:color="auto" w:fill="auto"/>
            <w:noWrap/>
          </w:tcPr>
          <w:p w14:paraId="0EEDA4B3" w14:textId="2C948C85"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76 544,5</w:t>
            </w:r>
          </w:p>
        </w:tc>
        <w:tc>
          <w:tcPr>
            <w:tcW w:w="1276" w:type="dxa"/>
            <w:tcBorders>
              <w:top w:val="nil"/>
              <w:left w:val="nil"/>
              <w:bottom w:val="single" w:sz="4" w:space="0" w:color="auto"/>
              <w:right w:val="single" w:sz="4" w:space="0" w:color="auto"/>
            </w:tcBorders>
            <w:shd w:val="clear" w:color="auto" w:fill="auto"/>
            <w:noWrap/>
          </w:tcPr>
          <w:p w14:paraId="4DD42B23" w14:textId="0AA48366" w:rsidR="001C6D64" w:rsidRPr="001C6D64" w:rsidRDefault="2248451C" w:rsidP="00881F82">
            <w:pPr>
              <w:overflowPunct w:val="0"/>
              <w:autoSpaceDE w:val="0"/>
              <w:autoSpaceDN w:val="0"/>
              <w:adjustRightInd w:val="0"/>
              <w:ind w:left="512" w:hanging="512"/>
              <w:jc w:val="right"/>
              <w:textAlignment w:val="baseline"/>
              <w:rPr>
                <w:sz w:val="20"/>
              </w:rPr>
            </w:pPr>
            <w:r w:rsidRPr="2248451C">
              <w:rPr>
                <w:sz w:val="20"/>
              </w:rPr>
              <w:t>3</w:t>
            </w:r>
            <w:r w:rsidR="00881F82">
              <w:rPr>
                <w:sz w:val="20"/>
              </w:rPr>
              <w:t xml:space="preserve"> </w:t>
            </w:r>
            <w:r w:rsidRPr="2248451C">
              <w:rPr>
                <w:sz w:val="20"/>
              </w:rPr>
              <w:t>87</w:t>
            </w:r>
            <w:r w:rsidR="00881F82">
              <w:rPr>
                <w:sz w:val="20"/>
              </w:rPr>
              <w:t>2,0</w:t>
            </w:r>
          </w:p>
        </w:tc>
        <w:tc>
          <w:tcPr>
            <w:tcW w:w="849" w:type="dxa"/>
            <w:tcBorders>
              <w:top w:val="nil"/>
              <w:left w:val="nil"/>
              <w:bottom w:val="single" w:sz="4" w:space="0" w:color="auto"/>
              <w:right w:val="single" w:sz="8" w:space="0" w:color="auto"/>
            </w:tcBorders>
            <w:shd w:val="clear" w:color="auto" w:fill="auto"/>
            <w:noWrap/>
          </w:tcPr>
          <w:p w14:paraId="5F87BBD3" w14:textId="404FD5A8"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105,3</w:t>
            </w:r>
          </w:p>
        </w:tc>
      </w:tr>
      <w:tr w:rsidR="001C6D64" w:rsidRPr="00923DEB" w14:paraId="5A763D68" w14:textId="77777777" w:rsidTr="2248451C">
        <w:trPr>
          <w:trHeight w:val="319"/>
        </w:trPr>
        <w:tc>
          <w:tcPr>
            <w:tcW w:w="2976" w:type="dxa"/>
            <w:tcBorders>
              <w:top w:val="nil"/>
              <w:left w:val="single" w:sz="8" w:space="0" w:color="auto"/>
              <w:bottom w:val="single" w:sz="4" w:space="0" w:color="auto"/>
              <w:right w:val="single" w:sz="8" w:space="0" w:color="auto"/>
            </w:tcBorders>
            <w:shd w:val="clear" w:color="auto" w:fill="auto"/>
            <w:noWrap/>
            <w:vAlign w:val="center"/>
            <w:hideMark/>
          </w:tcPr>
          <w:p w14:paraId="50871522" w14:textId="1C56AEA9" w:rsidR="001C6D64" w:rsidRPr="00723EB0" w:rsidRDefault="2248451C" w:rsidP="2248451C">
            <w:pPr>
              <w:overflowPunct w:val="0"/>
              <w:autoSpaceDE w:val="0"/>
              <w:autoSpaceDN w:val="0"/>
              <w:adjustRightInd w:val="0"/>
              <w:ind w:left="512" w:hanging="512"/>
              <w:textAlignment w:val="baseline"/>
              <w:rPr>
                <w:color w:val="000000" w:themeColor="text1"/>
                <w:sz w:val="20"/>
              </w:rPr>
            </w:pPr>
            <w:r w:rsidRPr="2248451C">
              <w:rPr>
                <w:color w:val="000000" w:themeColor="text1"/>
                <w:sz w:val="20"/>
              </w:rPr>
              <w:t>Környezetvédelmi termékdíjak</w:t>
            </w:r>
          </w:p>
        </w:tc>
        <w:tc>
          <w:tcPr>
            <w:tcW w:w="1418" w:type="dxa"/>
            <w:tcBorders>
              <w:top w:val="nil"/>
              <w:left w:val="single" w:sz="4" w:space="0" w:color="auto"/>
              <w:bottom w:val="single" w:sz="4" w:space="0" w:color="auto"/>
              <w:right w:val="single" w:sz="8" w:space="0" w:color="auto"/>
            </w:tcBorders>
            <w:shd w:val="clear" w:color="auto" w:fill="auto"/>
            <w:noWrap/>
          </w:tcPr>
          <w:p w14:paraId="69429D14" w14:textId="7392ED0E"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45 312,2</w:t>
            </w:r>
          </w:p>
        </w:tc>
        <w:tc>
          <w:tcPr>
            <w:tcW w:w="1417" w:type="dxa"/>
            <w:tcBorders>
              <w:top w:val="nil"/>
              <w:left w:val="single" w:sz="4" w:space="0" w:color="auto"/>
              <w:bottom w:val="single" w:sz="4" w:space="0" w:color="auto"/>
              <w:right w:val="single" w:sz="8" w:space="0" w:color="auto"/>
            </w:tcBorders>
            <w:shd w:val="clear" w:color="auto" w:fill="auto"/>
            <w:noWrap/>
          </w:tcPr>
          <w:p w14:paraId="3B90FF67" w14:textId="37CFF05B"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38 654,3</w:t>
            </w:r>
          </w:p>
        </w:tc>
        <w:tc>
          <w:tcPr>
            <w:tcW w:w="1276" w:type="dxa"/>
            <w:tcBorders>
              <w:top w:val="nil"/>
              <w:left w:val="nil"/>
              <w:bottom w:val="single" w:sz="4" w:space="0" w:color="auto"/>
              <w:right w:val="single" w:sz="4" w:space="0" w:color="auto"/>
            </w:tcBorders>
            <w:shd w:val="clear" w:color="auto" w:fill="auto"/>
            <w:noWrap/>
          </w:tcPr>
          <w:p w14:paraId="44A2E4EA" w14:textId="2066AF82" w:rsidR="001C6D64" w:rsidRPr="001C6D64" w:rsidRDefault="2248451C" w:rsidP="00127181">
            <w:pPr>
              <w:overflowPunct w:val="0"/>
              <w:autoSpaceDE w:val="0"/>
              <w:autoSpaceDN w:val="0"/>
              <w:adjustRightInd w:val="0"/>
              <w:ind w:left="512" w:hanging="512"/>
              <w:jc w:val="right"/>
              <w:textAlignment w:val="baseline"/>
              <w:rPr>
                <w:sz w:val="20"/>
              </w:rPr>
            </w:pPr>
            <w:r w:rsidRPr="2248451C">
              <w:rPr>
                <w:sz w:val="20"/>
              </w:rPr>
              <w:t>-6 657,</w:t>
            </w:r>
            <w:r w:rsidR="00127181">
              <w:rPr>
                <w:sz w:val="20"/>
              </w:rPr>
              <w:t>9</w:t>
            </w:r>
          </w:p>
        </w:tc>
        <w:tc>
          <w:tcPr>
            <w:tcW w:w="849" w:type="dxa"/>
            <w:tcBorders>
              <w:top w:val="nil"/>
              <w:left w:val="nil"/>
              <w:bottom w:val="single" w:sz="4" w:space="0" w:color="auto"/>
              <w:right w:val="single" w:sz="8" w:space="0" w:color="auto"/>
            </w:tcBorders>
            <w:shd w:val="clear" w:color="auto" w:fill="auto"/>
            <w:noWrap/>
          </w:tcPr>
          <w:p w14:paraId="3834BE53" w14:textId="14E84CED"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85,3</w:t>
            </w:r>
          </w:p>
        </w:tc>
      </w:tr>
      <w:tr w:rsidR="001C6D64" w:rsidRPr="00923DEB" w14:paraId="5D3B11E5" w14:textId="77777777" w:rsidTr="2248451C">
        <w:trPr>
          <w:trHeight w:val="319"/>
        </w:trPr>
        <w:tc>
          <w:tcPr>
            <w:tcW w:w="2976" w:type="dxa"/>
            <w:tcBorders>
              <w:top w:val="nil"/>
              <w:left w:val="single" w:sz="8" w:space="0" w:color="auto"/>
              <w:bottom w:val="single" w:sz="4" w:space="0" w:color="auto"/>
              <w:right w:val="single" w:sz="8" w:space="0" w:color="auto"/>
            </w:tcBorders>
            <w:shd w:val="clear" w:color="auto" w:fill="auto"/>
            <w:noWrap/>
            <w:vAlign w:val="center"/>
            <w:hideMark/>
          </w:tcPr>
          <w:p w14:paraId="051EB506" w14:textId="4CD895AC" w:rsidR="001C6D64" w:rsidRPr="00723EB0" w:rsidRDefault="2248451C" w:rsidP="2248451C">
            <w:pPr>
              <w:overflowPunct w:val="0"/>
              <w:autoSpaceDE w:val="0"/>
              <w:autoSpaceDN w:val="0"/>
              <w:adjustRightInd w:val="0"/>
              <w:ind w:left="512" w:hanging="512"/>
              <w:textAlignment w:val="baseline"/>
              <w:rPr>
                <w:color w:val="000000" w:themeColor="text1"/>
                <w:sz w:val="20"/>
              </w:rPr>
            </w:pPr>
            <w:r w:rsidRPr="2248451C">
              <w:rPr>
                <w:color w:val="000000" w:themeColor="text1"/>
                <w:sz w:val="20"/>
              </w:rPr>
              <w:t>Vízkészletjárulék</w:t>
            </w:r>
          </w:p>
        </w:tc>
        <w:tc>
          <w:tcPr>
            <w:tcW w:w="1418" w:type="dxa"/>
            <w:tcBorders>
              <w:top w:val="nil"/>
              <w:left w:val="single" w:sz="4" w:space="0" w:color="auto"/>
              <w:bottom w:val="single" w:sz="4" w:space="0" w:color="auto"/>
              <w:right w:val="single" w:sz="8" w:space="0" w:color="auto"/>
            </w:tcBorders>
            <w:shd w:val="clear" w:color="auto" w:fill="auto"/>
            <w:noWrap/>
          </w:tcPr>
          <w:p w14:paraId="06134C6C" w14:textId="42677F0A"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8 319,3</w:t>
            </w:r>
          </w:p>
        </w:tc>
        <w:tc>
          <w:tcPr>
            <w:tcW w:w="1417" w:type="dxa"/>
            <w:tcBorders>
              <w:top w:val="nil"/>
              <w:left w:val="single" w:sz="4" w:space="0" w:color="auto"/>
              <w:bottom w:val="single" w:sz="4" w:space="0" w:color="auto"/>
              <w:right w:val="single" w:sz="8" w:space="0" w:color="auto"/>
            </w:tcBorders>
            <w:shd w:val="clear" w:color="auto" w:fill="auto"/>
            <w:noWrap/>
          </w:tcPr>
          <w:p w14:paraId="2D678947" w14:textId="5E4EB718"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9 222,4</w:t>
            </w:r>
          </w:p>
        </w:tc>
        <w:tc>
          <w:tcPr>
            <w:tcW w:w="1276" w:type="dxa"/>
            <w:tcBorders>
              <w:top w:val="nil"/>
              <w:left w:val="nil"/>
              <w:bottom w:val="single" w:sz="4" w:space="0" w:color="auto"/>
              <w:right w:val="single" w:sz="4" w:space="0" w:color="auto"/>
            </w:tcBorders>
            <w:shd w:val="clear" w:color="auto" w:fill="auto"/>
            <w:noWrap/>
          </w:tcPr>
          <w:p w14:paraId="780A2B8D" w14:textId="125ADF59"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903,1</w:t>
            </w:r>
          </w:p>
        </w:tc>
        <w:tc>
          <w:tcPr>
            <w:tcW w:w="849" w:type="dxa"/>
            <w:tcBorders>
              <w:top w:val="nil"/>
              <w:left w:val="nil"/>
              <w:bottom w:val="single" w:sz="4" w:space="0" w:color="auto"/>
              <w:right w:val="single" w:sz="8" w:space="0" w:color="auto"/>
            </w:tcBorders>
            <w:shd w:val="clear" w:color="auto" w:fill="auto"/>
            <w:noWrap/>
          </w:tcPr>
          <w:p w14:paraId="3935BA5B" w14:textId="35404CDA"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110,9</w:t>
            </w:r>
          </w:p>
        </w:tc>
      </w:tr>
      <w:tr w:rsidR="001C6D64" w:rsidRPr="00923DEB" w14:paraId="036E62E4" w14:textId="77777777" w:rsidTr="2248451C">
        <w:trPr>
          <w:trHeight w:val="319"/>
        </w:trPr>
        <w:tc>
          <w:tcPr>
            <w:tcW w:w="2976" w:type="dxa"/>
            <w:tcBorders>
              <w:top w:val="nil"/>
              <w:left w:val="single" w:sz="8" w:space="0" w:color="auto"/>
              <w:bottom w:val="single" w:sz="4" w:space="0" w:color="auto"/>
              <w:right w:val="single" w:sz="8" w:space="0" w:color="auto"/>
            </w:tcBorders>
            <w:shd w:val="clear" w:color="auto" w:fill="auto"/>
            <w:hideMark/>
          </w:tcPr>
          <w:p w14:paraId="3E2A5A0E" w14:textId="1E9EF1BF" w:rsidR="001C6D64" w:rsidRPr="00723EB0" w:rsidRDefault="2248451C" w:rsidP="2248451C">
            <w:pPr>
              <w:overflowPunct w:val="0"/>
              <w:autoSpaceDE w:val="0"/>
              <w:autoSpaceDN w:val="0"/>
              <w:adjustRightInd w:val="0"/>
              <w:ind w:left="512" w:hanging="512"/>
              <w:textAlignment w:val="baseline"/>
              <w:rPr>
                <w:color w:val="000000" w:themeColor="text1"/>
                <w:sz w:val="20"/>
              </w:rPr>
            </w:pPr>
            <w:r w:rsidRPr="2248451C">
              <w:rPr>
                <w:color w:val="000000" w:themeColor="text1"/>
                <w:sz w:val="20"/>
              </w:rPr>
              <w:t>Hulladéklerakási járulék</w:t>
            </w:r>
          </w:p>
        </w:tc>
        <w:tc>
          <w:tcPr>
            <w:tcW w:w="1418" w:type="dxa"/>
            <w:tcBorders>
              <w:top w:val="nil"/>
              <w:left w:val="single" w:sz="4" w:space="0" w:color="auto"/>
              <w:bottom w:val="single" w:sz="4" w:space="0" w:color="auto"/>
              <w:right w:val="single" w:sz="8" w:space="0" w:color="auto"/>
            </w:tcBorders>
            <w:shd w:val="clear" w:color="auto" w:fill="auto"/>
            <w:noWrap/>
          </w:tcPr>
          <w:p w14:paraId="79CD9915" w14:textId="34834F42"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11 231,7</w:t>
            </w:r>
          </w:p>
        </w:tc>
        <w:tc>
          <w:tcPr>
            <w:tcW w:w="1417" w:type="dxa"/>
            <w:tcBorders>
              <w:top w:val="nil"/>
              <w:left w:val="single" w:sz="4" w:space="0" w:color="auto"/>
              <w:bottom w:val="single" w:sz="4" w:space="0" w:color="auto"/>
              <w:right w:val="single" w:sz="8" w:space="0" w:color="auto"/>
            </w:tcBorders>
            <w:shd w:val="clear" w:color="auto" w:fill="auto"/>
            <w:noWrap/>
          </w:tcPr>
          <w:p w14:paraId="5F76BE34" w14:textId="6DE36AE0"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9 919,3</w:t>
            </w:r>
          </w:p>
        </w:tc>
        <w:tc>
          <w:tcPr>
            <w:tcW w:w="1276" w:type="dxa"/>
            <w:tcBorders>
              <w:top w:val="nil"/>
              <w:left w:val="nil"/>
              <w:bottom w:val="single" w:sz="4" w:space="0" w:color="auto"/>
              <w:right w:val="single" w:sz="4" w:space="0" w:color="auto"/>
            </w:tcBorders>
            <w:shd w:val="clear" w:color="auto" w:fill="auto"/>
            <w:noWrap/>
          </w:tcPr>
          <w:p w14:paraId="696BA93B" w14:textId="549411B2" w:rsidR="001C6D64" w:rsidRPr="001C6D64" w:rsidRDefault="2248451C" w:rsidP="000B152E">
            <w:pPr>
              <w:overflowPunct w:val="0"/>
              <w:autoSpaceDE w:val="0"/>
              <w:autoSpaceDN w:val="0"/>
              <w:adjustRightInd w:val="0"/>
              <w:ind w:left="512" w:hanging="512"/>
              <w:jc w:val="right"/>
              <w:textAlignment w:val="baseline"/>
              <w:rPr>
                <w:sz w:val="20"/>
              </w:rPr>
            </w:pPr>
            <w:r w:rsidRPr="2248451C">
              <w:rPr>
                <w:sz w:val="20"/>
              </w:rPr>
              <w:t>-1 312,</w:t>
            </w:r>
            <w:r w:rsidR="000B152E">
              <w:rPr>
                <w:sz w:val="20"/>
              </w:rPr>
              <w:t>4</w:t>
            </w:r>
          </w:p>
        </w:tc>
        <w:tc>
          <w:tcPr>
            <w:tcW w:w="849" w:type="dxa"/>
            <w:tcBorders>
              <w:top w:val="nil"/>
              <w:left w:val="nil"/>
              <w:bottom w:val="single" w:sz="4" w:space="0" w:color="auto"/>
              <w:right w:val="single" w:sz="8" w:space="0" w:color="auto"/>
            </w:tcBorders>
            <w:shd w:val="clear" w:color="auto" w:fill="auto"/>
            <w:noWrap/>
          </w:tcPr>
          <w:p w14:paraId="62481C31" w14:textId="1C3F413A"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88,3</w:t>
            </w:r>
          </w:p>
        </w:tc>
      </w:tr>
      <w:tr w:rsidR="001C6D64" w:rsidRPr="00923DEB" w14:paraId="2B8FF813" w14:textId="77777777" w:rsidTr="2248451C">
        <w:trPr>
          <w:trHeight w:val="319"/>
        </w:trPr>
        <w:tc>
          <w:tcPr>
            <w:tcW w:w="2976" w:type="dxa"/>
            <w:tcBorders>
              <w:top w:val="nil"/>
              <w:left w:val="single" w:sz="8" w:space="0" w:color="auto"/>
              <w:bottom w:val="single" w:sz="4" w:space="0" w:color="auto"/>
              <w:right w:val="single" w:sz="8" w:space="0" w:color="auto"/>
            </w:tcBorders>
            <w:shd w:val="clear" w:color="auto" w:fill="auto"/>
            <w:noWrap/>
            <w:vAlign w:val="center"/>
            <w:hideMark/>
          </w:tcPr>
          <w:p w14:paraId="3CD46533" w14:textId="6E246FE2" w:rsidR="001C6D64" w:rsidRPr="00723EB0" w:rsidRDefault="2248451C" w:rsidP="2248451C">
            <w:pPr>
              <w:overflowPunct w:val="0"/>
              <w:autoSpaceDE w:val="0"/>
              <w:autoSpaceDN w:val="0"/>
              <w:adjustRightInd w:val="0"/>
              <w:ind w:left="512" w:hanging="512"/>
              <w:textAlignment w:val="baseline"/>
              <w:rPr>
                <w:color w:val="000000" w:themeColor="text1"/>
                <w:sz w:val="20"/>
              </w:rPr>
            </w:pPr>
            <w:r w:rsidRPr="2248451C">
              <w:rPr>
                <w:color w:val="000000" w:themeColor="text1"/>
                <w:sz w:val="20"/>
              </w:rPr>
              <w:t>Elektronikus útdíj</w:t>
            </w:r>
          </w:p>
        </w:tc>
        <w:tc>
          <w:tcPr>
            <w:tcW w:w="1418" w:type="dxa"/>
            <w:tcBorders>
              <w:top w:val="nil"/>
              <w:left w:val="single" w:sz="4" w:space="0" w:color="auto"/>
              <w:bottom w:val="single" w:sz="4" w:space="0" w:color="auto"/>
              <w:right w:val="single" w:sz="8" w:space="0" w:color="auto"/>
            </w:tcBorders>
            <w:shd w:val="clear" w:color="auto" w:fill="auto"/>
            <w:noWrap/>
          </w:tcPr>
          <w:p w14:paraId="3B3B1AFD" w14:textId="00B92EC4"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121 087,9</w:t>
            </w:r>
          </w:p>
        </w:tc>
        <w:tc>
          <w:tcPr>
            <w:tcW w:w="1417" w:type="dxa"/>
            <w:tcBorders>
              <w:top w:val="nil"/>
              <w:left w:val="single" w:sz="4" w:space="0" w:color="auto"/>
              <w:bottom w:val="single" w:sz="4" w:space="0" w:color="auto"/>
              <w:right w:val="single" w:sz="8" w:space="0" w:color="auto"/>
            </w:tcBorders>
            <w:shd w:val="clear" w:color="auto" w:fill="auto"/>
            <w:noWrap/>
          </w:tcPr>
          <w:p w14:paraId="65871DFF" w14:textId="51097D4F"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118 682,6</w:t>
            </w:r>
          </w:p>
        </w:tc>
        <w:tc>
          <w:tcPr>
            <w:tcW w:w="1276" w:type="dxa"/>
            <w:tcBorders>
              <w:top w:val="nil"/>
              <w:left w:val="nil"/>
              <w:bottom w:val="single" w:sz="4" w:space="0" w:color="auto"/>
              <w:right w:val="single" w:sz="4" w:space="0" w:color="auto"/>
            </w:tcBorders>
            <w:shd w:val="clear" w:color="auto" w:fill="auto"/>
            <w:noWrap/>
          </w:tcPr>
          <w:p w14:paraId="0B96A16C" w14:textId="018E1977"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-2 405,3</w:t>
            </w:r>
          </w:p>
        </w:tc>
        <w:tc>
          <w:tcPr>
            <w:tcW w:w="849" w:type="dxa"/>
            <w:tcBorders>
              <w:top w:val="nil"/>
              <w:left w:val="nil"/>
              <w:bottom w:val="single" w:sz="4" w:space="0" w:color="auto"/>
              <w:right w:val="single" w:sz="8" w:space="0" w:color="auto"/>
            </w:tcBorders>
            <w:shd w:val="clear" w:color="auto" w:fill="auto"/>
            <w:noWrap/>
          </w:tcPr>
          <w:p w14:paraId="2CBB6149" w14:textId="44A703BD"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98,0</w:t>
            </w:r>
          </w:p>
        </w:tc>
      </w:tr>
      <w:tr w:rsidR="001C6D64" w:rsidRPr="00923DEB" w14:paraId="01244098" w14:textId="77777777" w:rsidTr="2248451C">
        <w:trPr>
          <w:trHeight w:val="319"/>
        </w:trPr>
        <w:tc>
          <w:tcPr>
            <w:tcW w:w="2976" w:type="dxa"/>
            <w:tcBorders>
              <w:top w:val="nil"/>
              <w:left w:val="single" w:sz="8" w:space="0" w:color="auto"/>
              <w:bottom w:val="single" w:sz="4" w:space="0" w:color="auto"/>
              <w:right w:val="single" w:sz="8" w:space="0" w:color="auto"/>
            </w:tcBorders>
            <w:shd w:val="clear" w:color="auto" w:fill="auto"/>
            <w:noWrap/>
            <w:vAlign w:val="center"/>
            <w:hideMark/>
          </w:tcPr>
          <w:p w14:paraId="4D2CC07A" w14:textId="42659F3A" w:rsidR="001C6D64" w:rsidRPr="00723EB0" w:rsidRDefault="2248451C" w:rsidP="2248451C">
            <w:pPr>
              <w:overflowPunct w:val="0"/>
              <w:autoSpaceDE w:val="0"/>
              <w:autoSpaceDN w:val="0"/>
              <w:adjustRightInd w:val="0"/>
              <w:ind w:left="512" w:hanging="512"/>
              <w:textAlignment w:val="baseline"/>
              <w:rPr>
                <w:color w:val="000000" w:themeColor="text1"/>
                <w:sz w:val="20"/>
              </w:rPr>
            </w:pPr>
            <w:r w:rsidRPr="2248451C">
              <w:rPr>
                <w:color w:val="000000" w:themeColor="text1"/>
                <w:sz w:val="20"/>
              </w:rPr>
              <w:t>Korkedvezmény-biztosítási járulék</w:t>
            </w:r>
          </w:p>
        </w:tc>
        <w:tc>
          <w:tcPr>
            <w:tcW w:w="1418" w:type="dxa"/>
            <w:tcBorders>
              <w:top w:val="nil"/>
              <w:left w:val="single" w:sz="4" w:space="0" w:color="auto"/>
              <w:bottom w:val="single" w:sz="4" w:space="0" w:color="auto"/>
              <w:right w:val="single" w:sz="8" w:space="0" w:color="auto"/>
            </w:tcBorders>
            <w:shd w:val="clear" w:color="auto" w:fill="auto"/>
            <w:noWrap/>
          </w:tcPr>
          <w:p w14:paraId="48E0DE6A" w14:textId="0714F5C1"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6,1</w:t>
            </w:r>
          </w:p>
        </w:tc>
        <w:tc>
          <w:tcPr>
            <w:tcW w:w="1417" w:type="dxa"/>
            <w:tcBorders>
              <w:top w:val="nil"/>
              <w:left w:val="single" w:sz="4" w:space="0" w:color="auto"/>
              <w:bottom w:val="single" w:sz="4" w:space="0" w:color="auto"/>
              <w:right w:val="single" w:sz="8" w:space="0" w:color="auto"/>
            </w:tcBorders>
            <w:shd w:val="clear" w:color="auto" w:fill="auto"/>
            <w:noWrap/>
          </w:tcPr>
          <w:p w14:paraId="75C15708" w14:textId="7914FF54"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4,5</w:t>
            </w:r>
          </w:p>
        </w:tc>
        <w:tc>
          <w:tcPr>
            <w:tcW w:w="1276" w:type="dxa"/>
            <w:tcBorders>
              <w:top w:val="nil"/>
              <w:left w:val="nil"/>
              <w:bottom w:val="single" w:sz="4" w:space="0" w:color="auto"/>
              <w:right w:val="single" w:sz="4" w:space="0" w:color="auto"/>
            </w:tcBorders>
            <w:shd w:val="clear" w:color="auto" w:fill="auto"/>
            <w:noWrap/>
          </w:tcPr>
          <w:p w14:paraId="1534B589" w14:textId="104C52A1"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-1,6</w:t>
            </w:r>
          </w:p>
        </w:tc>
        <w:tc>
          <w:tcPr>
            <w:tcW w:w="849" w:type="dxa"/>
            <w:tcBorders>
              <w:top w:val="nil"/>
              <w:left w:val="nil"/>
              <w:bottom w:val="single" w:sz="4" w:space="0" w:color="auto"/>
              <w:right w:val="single" w:sz="8" w:space="0" w:color="auto"/>
            </w:tcBorders>
            <w:shd w:val="clear" w:color="auto" w:fill="auto"/>
            <w:noWrap/>
          </w:tcPr>
          <w:p w14:paraId="22250457" w14:textId="6AC22277" w:rsidR="001C6D64" w:rsidRPr="001C6D64" w:rsidRDefault="00946877" w:rsidP="083418F4">
            <w:pPr>
              <w:overflowPunct w:val="0"/>
              <w:autoSpaceDE w:val="0"/>
              <w:autoSpaceDN w:val="0"/>
              <w:adjustRightInd w:val="0"/>
              <w:ind w:left="512" w:hanging="512"/>
              <w:jc w:val="right"/>
              <w:textAlignment w:val="baseline"/>
              <w:rPr>
                <w:sz w:val="20"/>
              </w:rPr>
            </w:pPr>
            <w:r>
              <w:rPr>
                <w:sz w:val="20"/>
              </w:rPr>
              <w:t>73,8</w:t>
            </w:r>
          </w:p>
        </w:tc>
      </w:tr>
      <w:tr w:rsidR="001C6D64" w:rsidRPr="00923DEB" w14:paraId="6A89324A" w14:textId="77777777" w:rsidTr="2248451C">
        <w:trPr>
          <w:trHeight w:val="319"/>
        </w:trPr>
        <w:tc>
          <w:tcPr>
            <w:tcW w:w="2976" w:type="dxa"/>
            <w:tcBorders>
              <w:top w:val="nil"/>
              <w:left w:val="single" w:sz="8" w:space="0" w:color="auto"/>
              <w:bottom w:val="single" w:sz="4" w:space="0" w:color="auto"/>
              <w:right w:val="single" w:sz="8" w:space="0" w:color="auto"/>
            </w:tcBorders>
            <w:shd w:val="clear" w:color="auto" w:fill="auto"/>
            <w:noWrap/>
            <w:vAlign w:val="center"/>
            <w:hideMark/>
          </w:tcPr>
          <w:p w14:paraId="66CEC987" w14:textId="0CD8F311" w:rsidR="001C6D64" w:rsidRPr="00723EB0" w:rsidRDefault="2248451C" w:rsidP="2248451C">
            <w:pPr>
              <w:overflowPunct w:val="0"/>
              <w:autoSpaceDE w:val="0"/>
              <w:autoSpaceDN w:val="0"/>
              <w:adjustRightInd w:val="0"/>
              <w:ind w:left="512" w:hanging="512"/>
              <w:textAlignment w:val="baseline"/>
              <w:rPr>
                <w:color w:val="000000" w:themeColor="text1"/>
                <w:sz w:val="20"/>
              </w:rPr>
            </w:pPr>
            <w:r w:rsidRPr="2248451C">
              <w:rPr>
                <w:color w:val="000000" w:themeColor="text1"/>
                <w:sz w:val="20"/>
              </w:rPr>
              <w:t>Időalapú útdíj</w:t>
            </w:r>
          </w:p>
        </w:tc>
        <w:tc>
          <w:tcPr>
            <w:tcW w:w="1418" w:type="dxa"/>
            <w:tcBorders>
              <w:top w:val="nil"/>
              <w:left w:val="single" w:sz="4" w:space="0" w:color="auto"/>
              <w:bottom w:val="single" w:sz="4" w:space="0" w:color="auto"/>
              <w:right w:val="single" w:sz="8" w:space="0" w:color="auto"/>
            </w:tcBorders>
            <w:shd w:val="clear" w:color="auto" w:fill="auto"/>
            <w:noWrap/>
          </w:tcPr>
          <w:p w14:paraId="261636BC" w14:textId="5BE6B81B"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46 984,5</w:t>
            </w:r>
          </w:p>
        </w:tc>
        <w:tc>
          <w:tcPr>
            <w:tcW w:w="1417" w:type="dxa"/>
            <w:tcBorders>
              <w:top w:val="nil"/>
              <w:left w:val="single" w:sz="4" w:space="0" w:color="auto"/>
              <w:bottom w:val="single" w:sz="4" w:space="0" w:color="auto"/>
              <w:right w:val="single" w:sz="8" w:space="0" w:color="auto"/>
            </w:tcBorders>
            <w:shd w:val="clear" w:color="auto" w:fill="auto"/>
            <w:noWrap/>
          </w:tcPr>
          <w:p w14:paraId="3D3E7E73" w14:textId="38F1D338"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43 343,6</w:t>
            </w:r>
          </w:p>
        </w:tc>
        <w:tc>
          <w:tcPr>
            <w:tcW w:w="1276" w:type="dxa"/>
            <w:tcBorders>
              <w:top w:val="nil"/>
              <w:left w:val="nil"/>
              <w:bottom w:val="single" w:sz="4" w:space="0" w:color="auto"/>
              <w:right w:val="single" w:sz="4" w:space="0" w:color="auto"/>
            </w:tcBorders>
            <w:shd w:val="clear" w:color="auto" w:fill="auto"/>
            <w:noWrap/>
          </w:tcPr>
          <w:p w14:paraId="2185C571" w14:textId="42046C02"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-3 640,9</w:t>
            </w:r>
          </w:p>
        </w:tc>
        <w:tc>
          <w:tcPr>
            <w:tcW w:w="849" w:type="dxa"/>
            <w:tcBorders>
              <w:top w:val="nil"/>
              <w:left w:val="nil"/>
              <w:bottom w:val="single" w:sz="4" w:space="0" w:color="auto"/>
              <w:right w:val="single" w:sz="8" w:space="0" w:color="auto"/>
            </w:tcBorders>
            <w:shd w:val="clear" w:color="auto" w:fill="auto"/>
            <w:noWrap/>
          </w:tcPr>
          <w:p w14:paraId="23F4345A" w14:textId="107A1E13"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92,3</w:t>
            </w:r>
          </w:p>
        </w:tc>
      </w:tr>
      <w:tr w:rsidR="001C6D64" w:rsidRPr="00923DEB" w14:paraId="450B7EA2" w14:textId="77777777" w:rsidTr="2248451C">
        <w:trPr>
          <w:trHeight w:val="319"/>
        </w:trPr>
        <w:tc>
          <w:tcPr>
            <w:tcW w:w="2976" w:type="dxa"/>
            <w:tcBorders>
              <w:top w:val="nil"/>
              <w:left w:val="single" w:sz="8" w:space="0" w:color="auto"/>
              <w:bottom w:val="single" w:sz="4" w:space="0" w:color="auto"/>
              <w:right w:val="single" w:sz="8" w:space="0" w:color="auto"/>
            </w:tcBorders>
            <w:shd w:val="clear" w:color="auto" w:fill="auto"/>
            <w:noWrap/>
            <w:vAlign w:val="center"/>
            <w:hideMark/>
          </w:tcPr>
          <w:p w14:paraId="2C5B39AB" w14:textId="7B7EB5CF" w:rsidR="001C6D64" w:rsidRPr="00723EB0" w:rsidRDefault="2248451C" w:rsidP="2248451C">
            <w:pPr>
              <w:overflowPunct w:val="0"/>
              <w:autoSpaceDE w:val="0"/>
              <w:autoSpaceDN w:val="0"/>
              <w:adjustRightInd w:val="0"/>
              <w:ind w:left="512" w:hanging="512"/>
              <w:textAlignment w:val="baseline"/>
              <w:rPr>
                <w:color w:val="000000" w:themeColor="text1"/>
                <w:sz w:val="20"/>
              </w:rPr>
            </w:pPr>
            <w:r w:rsidRPr="2248451C">
              <w:rPr>
                <w:color w:val="000000" w:themeColor="text1"/>
                <w:sz w:val="20"/>
              </w:rPr>
              <w:t>Bírságok és függő tételek</w:t>
            </w:r>
          </w:p>
        </w:tc>
        <w:tc>
          <w:tcPr>
            <w:tcW w:w="1418" w:type="dxa"/>
            <w:tcBorders>
              <w:top w:val="nil"/>
              <w:left w:val="single" w:sz="4" w:space="0" w:color="auto"/>
              <w:bottom w:val="single" w:sz="4" w:space="0" w:color="auto"/>
              <w:right w:val="single" w:sz="8" w:space="0" w:color="auto"/>
            </w:tcBorders>
            <w:shd w:val="clear" w:color="auto" w:fill="auto"/>
            <w:noWrap/>
          </w:tcPr>
          <w:p w14:paraId="42C02778" w14:textId="39377D69"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29 799,4</w:t>
            </w:r>
          </w:p>
        </w:tc>
        <w:tc>
          <w:tcPr>
            <w:tcW w:w="1417" w:type="dxa"/>
            <w:tcBorders>
              <w:top w:val="nil"/>
              <w:left w:val="single" w:sz="4" w:space="0" w:color="auto"/>
              <w:bottom w:val="single" w:sz="4" w:space="0" w:color="auto"/>
              <w:right w:val="single" w:sz="8" w:space="0" w:color="auto"/>
            </w:tcBorders>
            <w:shd w:val="clear" w:color="auto" w:fill="auto"/>
            <w:noWrap/>
          </w:tcPr>
          <w:p w14:paraId="60B6F1F8" w14:textId="58286B41"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30 382,7</w:t>
            </w:r>
          </w:p>
        </w:tc>
        <w:tc>
          <w:tcPr>
            <w:tcW w:w="1276" w:type="dxa"/>
            <w:tcBorders>
              <w:top w:val="nil"/>
              <w:left w:val="nil"/>
              <w:bottom w:val="single" w:sz="4" w:space="0" w:color="auto"/>
              <w:right w:val="single" w:sz="4" w:space="0" w:color="auto"/>
            </w:tcBorders>
            <w:shd w:val="clear" w:color="auto" w:fill="auto"/>
            <w:noWrap/>
          </w:tcPr>
          <w:p w14:paraId="656DACF4" w14:textId="323E3D61"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583,3</w:t>
            </w:r>
          </w:p>
        </w:tc>
        <w:tc>
          <w:tcPr>
            <w:tcW w:w="849" w:type="dxa"/>
            <w:tcBorders>
              <w:top w:val="nil"/>
              <w:left w:val="nil"/>
              <w:bottom w:val="single" w:sz="4" w:space="0" w:color="auto"/>
              <w:right w:val="single" w:sz="8" w:space="0" w:color="auto"/>
            </w:tcBorders>
            <w:shd w:val="clear" w:color="auto" w:fill="auto"/>
            <w:noWrap/>
          </w:tcPr>
          <w:p w14:paraId="3B910221" w14:textId="6DB2ABE7"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102,0</w:t>
            </w:r>
          </w:p>
        </w:tc>
      </w:tr>
      <w:tr w:rsidR="001C6D64" w:rsidRPr="00923DEB" w14:paraId="160B4B20" w14:textId="77777777" w:rsidTr="2248451C">
        <w:trPr>
          <w:trHeight w:val="319"/>
        </w:trPr>
        <w:tc>
          <w:tcPr>
            <w:tcW w:w="2976" w:type="dxa"/>
            <w:tcBorders>
              <w:top w:val="nil"/>
              <w:left w:val="single" w:sz="8" w:space="0" w:color="auto"/>
              <w:bottom w:val="single" w:sz="8" w:space="0" w:color="auto"/>
              <w:right w:val="single" w:sz="8" w:space="0" w:color="auto"/>
            </w:tcBorders>
            <w:shd w:val="clear" w:color="auto" w:fill="auto"/>
            <w:noWrap/>
            <w:vAlign w:val="center"/>
            <w:hideMark/>
          </w:tcPr>
          <w:p w14:paraId="6505F41A" w14:textId="7DC54D38" w:rsidR="001C6D64" w:rsidRPr="00723EB0" w:rsidRDefault="2248451C" w:rsidP="2248451C">
            <w:pPr>
              <w:overflowPunct w:val="0"/>
              <w:autoSpaceDE w:val="0"/>
              <w:autoSpaceDN w:val="0"/>
              <w:adjustRightInd w:val="0"/>
              <w:ind w:left="512" w:hanging="512"/>
              <w:textAlignment w:val="baseline"/>
              <w:rPr>
                <w:color w:val="000000" w:themeColor="text1"/>
                <w:sz w:val="20"/>
              </w:rPr>
            </w:pPr>
            <w:r w:rsidRPr="2248451C">
              <w:rPr>
                <w:color w:val="000000" w:themeColor="text1"/>
                <w:sz w:val="20"/>
              </w:rPr>
              <w:t>Egyéb tételek összesen</w:t>
            </w:r>
          </w:p>
        </w:tc>
        <w:tc>
          <w:tcPr>
            <w:tcW w:w="1418" w:type="dxa"/>
            <w:tcBorders>
              <w:top w:val="nil"/>
              <w:left w:val="single" w:sz="4" w:space="0" w:color="auto"/>
              <w:bottom w:val="single" w:sz="4" w:space="0" w:color="auto"/>
              <w:right w:val="single" w:sz="8" w:space="0" w:color="auto"/>
            </w:tcBorders>
            <w:shd w:val="clear" w:color="auto" w:fill="auto"/>
            <w:noWrap/>
          </w:tcPr>
          <w:p w14:paraId="30726ED3" w14:textId="18F78B0A" w:rsidR="001C6D64" w:rsidRPr="001C6D64" w:rsidRDefault="2248451C" w:rsidP="00C72FD5">
            <w:pPr>
              <w:overflowPunct w:val="0"/>
              <w:autoSpaceDE w:val="0"/>
              <w:autoSpaceDN w:val="0"/>
              <w:adjustRightInd w:val="0"/>
              <w:ind w:left="512" w:hanging="512"/>
              <w:jc w:val="right"/>
              <w:textAlignment w:val="baseline"/>
              <w:rPr>
                <w:sz w:val="20"/>
              </w:rPr>
            </w:pPr>
            <w:r w:rsidRPr="2248451C">
              <w:rPr>
                <w:sz w:val="20"/>
              </w:rPr>
              <w:t>6 897,</w:t>
            </w:r>
            <w:r w:rsidR="00C72FD5">
              <w:rPr>
                <w:sz w:val="20"/>
              </w:rPr>
              <w:t>3</w:t>
            </w:r>
          </w:p>
        </w:tc>
        <w:tc>
          <w:tcPr>
            <w:tcW w:w="1417" w:type="dxa"/>
            <w:tcBorders>
              <w:top w:val="nil"/>
              <w:left w:val="single" w:sz="4" w:space="0" w:color="auto"/>
              <w:bottom w:val="single" w:sz="4" w:space="0" w:color="auto"/>
              <w:right w:val="single" w:sz="8" w:space="0" w:color="auto"/>
            </w:tcBorders>
            <w:shd w:val="clear" w:color="auto" w:fill="auto"/>
            <w:noWrap/>
          </w:tcPr>
          <w:p w14:paraId="31126547" w14:textId="18DF3408" w:rsidR="001C6D64" w:rsidRPr="001C6D64" w:rsidRDefault="2248451C" w:rsidP="00975AB2">
            <w:pPr>
              <w:overflowPunct w:val="0"/>
              <w:autoSpaceDE w:val="0"/>
              <w:autoSpaceDN w:val="0"/>
              <w:adjustRightInd w:val="0"/>
              <w:ind w:left="512" w:hanging="512"/>
              <w:jc w:val="right"/>
              <w:textAlignment w:val="baseline"/>
              <w:rPr>
                <w:sz w:val="20"/>
              </w:rPr>
            </w:pPr>
            <w:r w:rsidRPr="2248451C">
              <w:rPr>
                <w:sz w:val="20"/>
              </w:rPr>
              <w:t>3 545,</w:t>
            </w:r>
            <w:r w:rsidR="00975AB2">
              <w:rPr>
                <w:sz w:val="20"/>
              </w:rPr>
              <w:t>1</w:t>
            </w:r>
          </w:p>
        </w:tc>
        <w:tc>
          <w:tcPr>
            <w:tcW w:w="1276" w:type="dxa"/>
            <w:tcBorders>
              <w:top w:val="nil"/>
              <w:left w:val="nil"/>
              <w:bottom w:val="single" w:sz="8" w:space="0" w:color="auto"/>
              <w:right w:val="single" w:sz="4" w:space="0" w:color="auto"/>
            </w:tcBorders>
            <w:shd w:val="clear" w:color="auto" w:fill="auto"/>
            <w:noWrap/>
          </w:tcPr>
          <w:p w14:paraId="29C4195B" w14:textId="78C96600"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-3 352,2</w:t>
            </w:r>
          </w:p>
        </w:tc>
        <w:tc>
          <w:tcPr>
            <w:tcW w:w="849" w:type="dxa"/>
            <w:tcBorders>
              <w:top w:val="nil"/>
              <w:left w:val="nil"/>
              <w:bottom w:val="single" w:sz="4" w:space="0" w:color="auto"/>
              <w:right w:val="single" w:sz="8" w:space="0" w:color="auto"/>
            </w:tcBorders>
            <w:shd w:val="clear" w:color="auto" w:fill="auto"/>
            <w:noWrap/>
          </w:tcPr>
          <w:p w14:paraId="630D7340" w14:textId="7BF50161" w:rsidR="001C6D64" w:rsidRPr="001C6D64" w:rsidRDefault="2248451C" w:rsidP="2248451C">
            <w:pPr>
              <w:overflowPunct w:val="0"/>
              <w:autoSpaceDE w:val="0"/>
              <w:autoSpaceDN w:val="0"/>
              <w:adjustRightInd w:val="0"/>
              <w:ind w:left="512" w:hanging="512"/>
              <w:jc w:val="right"/>
              <w:textAlignment w:val="baseline"/>
              <w:rPr>
                <w:sz w:val="20"/>
              </w:rPr>
            </w:pPr>
            <w:r w:rsidRPr="2248451C">
              <w:rPr>
                <w:sz w:val="20"/>
              </w:rPr>
              <w:t>51,4</w:t>
            </w:r>
          </w:p>
        </w:tc>
      </w:tr>
      <w:tr w:rsidR="001C6D64" w:rsidRPr="00923DEB" w14:paraId="0707D9BA" w14:textId="77777777" w:rsidTr="2248451C">
        <w:trPr>
          <w:trHeight w:val="330"/>
        </w:trPr>
        <w:tc>
          <w:tcPr>
            <w:tcW w:w="2976" w:type="dxa"/>
            <w:tcBorders>
              <w:top w:val="nil"/>
              <w:left w:val="single" w:sz="8" w:space="0" w:color="auto"/>
              <w:bottom w:val="single" w:sz="8" w:space="0" w:color="auto"/>
              <w:right w:val="single" w:sz="8" w:space="0" w:color="auto"/>
            </w:tcBorders>
            <w:shd w:val="clear" w:color="auto" w:fill="auto"/>
            <w:vAlign w:val="bottom"/>
            <w:hideMark/>
          </w:tcPr>
          <w:p w14:paraId="4A4DBB2E" w14:textId="6FB62D53" w:rsidR="001C6D64" w:rsidRPr="00723EB0" w:rsidRDefault="2248451C" w:rsidP="2248451C">
            <w:pPr>
              <w:overflowPunct w:val="0"/>
              <w:autoSpaceDE w:val="0"/>
              <w:autoSpaceDN w:val="0"/>
              <w:adjustRightInd w:val="0"/>
              <w:ind w:left="512" w:hanging="512"/>
              <w:jc w:val="center"/>
              <w:textAlignment w:val="baseline"/>
              <w:rPr>
                <w:b/>
                <w:bCs/>
                <w:color w:val="000000" w:themeColor="text1"/>
                <w:sz w:val="20"/>
              </w:rPr>
            </w:pPr>
            <w:r w:rsidRPr="2248451C">
              <w:rPr>
                <w:b/>
                <w:bCs/>
                <w:color w:val="000000" w:themeColor="text1"/>
                <w:sz w:val="20"/>
              </w:rPr>
              <w:t>Összesen</w:t>
            </w:r>
          </w:p>
        </w:tc>
        <w:tc>
          <w:tcPr>
            <w:tcW w:w="1418" w:type="dxa"/>
            <w:tcBorders>
              <w:top w:val="single" w:sz="8" w:space="0" w:color="auto"/>
              <w:left w:val="nil"/>
              <w:bottom w:val="single" w:sz="8" w:space="0" w:color="auto"/>
              <w:right w:val="single" w:sz="4" w:space="0" w:color="auto"/>
            </w:tcBorders>
            <w:shd w:val="clear" w:color="auto" w:fill="auto"/>
            <w:noWrap/>
          </w:tcPr>
          <w:p w14:paraId="2312A22A" w14:textId="7B33D563" w:rsidR="001C6D64" w:rsidRPr="001C6D64" w:rsidRDefault="2248451C" w:rsidP="2248451C">
            <w:pPr>
              <w:overflowPunct w:val="0"/>
              <w:autoSpaceDE w:val="0"/>
              <w:autoSpaceDN w:val="0"/>
              <w:adjustRightInd w:val="0"/>
              <w:ind w:left="512" w:hanging="512"/>
              <w:jc w:val="right"/>
              <w:textAlignment w:val="baseline"/>
              <w:rPr>
                <w:b/>
                <w:bCs/>
                <w:sz w:val="20"/>
              </w:rPr>
            </w:pPr>
            <w:r w:rsidRPr="2248451C">
              <w:rPr>
                <w:b/>
                <w:bCs/>
                <w:sz w:val="20"/>
              </w:rPr>
              <w:t>342 310,9</w:t>
            </w:r>
          </w:p>
        </w:tc>
        <w:tc>
          <w:tcPr>
            <w:tcW w:w="1417" w:type="dxa"/>
            <w:tcBorders>
              <w:top w:val="single" w:sz="8" w:space="0" w:color="auto"/>
              <w:left w:val="nil"/>
              <w:bottom w:val="single" w:sz="8" w:space="0" w:color="auto"/>
              <w:right w:val="single" w:sz="8" w:space="0" w:color="auto"/>
            </w:tcBorders>
            <w:shd w:val="clear" w:color="auto" w:fill="auto"/>
            <w:noWrap/>
          </w:tcPr>
          <w:p w14:paraId="1CE3DF8E" w14:textId="018562B9" w:rsidR="001C6D64" w:rsidRPr="001C6D64" w:rsidRDefault="2248451C" w:rsidP="2248451C">
            <w:pPr>
              <w:overflowPunct w:val="0"/>
              <w:autoSpaceDE w:val="0"/>
              <w:autoSpaceDN w:val="0"/>
              <w:adjustRightInd w:val="0"/>
              <w:ind w:left="512" w:hanging="512"/>
              <w:jc w:val="right"/>
              <w:textAlignment w:val="baseline"/>
              <w:rPr>
                <w:b/>
                <w:bCs/>
                <w:sz w:val="20"/>
              </w:rPr>
            </w:pPr>
            <w:r w:rsidRPr="2248451C">
              <w:rPr>
                <w:b/>
                <w:bCs/>
                <w:sz w:val="20"/>
              </w:rPr>
              <w:t>330 299,0</w:t>
            </w:r>
          </w:p>
        </w:tc>
        <w:tc>
          <w:tcPr>
            <w:tcW w:w="1276" w:type="dxa"/>
            <w:tcBorders>
              <w:top w:val="nil"/>
              <w:left w:val="nil"/>
              <w:bottom w:val="single" w:sz="8" w:space="0" w:color="auto"/>
              <w:right w:val="single" w:sz="4" w:space="0" w:color="auto"/>
            </w:tcBorders>
            <w:shd w:val="clear" w:color="auto" w:fill="auto"/>
            <w:noWrap/>
          </w:tcPr>
          <w:p w14:paraId="6D040A33" w14:textId="423FD5C1" w:rsidR="001C6D64" w:rsidRPr="001C6D64" w:rsidRDefault="2248451C" w:rsidP="2248451C">
            <w:pPr>
              <w:overflowPunct w:val="0"/>
              <w:autoSpaceDE w:val="0"/>
              <w:autoSpaceDN w:val="0"/>
              <w:adjustRightInd w:val="0"/>
              <w:ind w:left="512" w:hanging="512"/>
              <w:jc w:val="right"/>
              <w:textAlignment w:val="baseline"/>
              <w:rPr>
                <w:b/>
                <w:bCs/>
                <w:sz w:val="20"/>
              </w:rPr>
            </w:pPr>
            <w:r w:rsidRPr="2248451C">
              <w:rPr>
                <w:b/>
                <w:bCs/>
                <w:sz w:val="20"/>
              </w:rPr>
              <w:t>-12 011,9</w:t>
            </w:r>
          </w:p>
        </w:tc>
        <w:tc>
          <w:tcPr>
            <w:tcW w:w="849" w:type="dxa"/>
            <w:tcBorders>
              <w:top w:val="single" w:sz="8" w:space="0" w:color="auto"/>
              <w:left w:val="nil"/>
              <w:bottom w:val="single" w:sz="8" w:space="0" w:color="auto"/>
              <w:right w:val="single" w:sz="8" w:space="0" w:color="auto"/>
            </w:tcBorders>
            <w:shd w:val="clear" w:color="auto" w:fill="auto"/>
            <w:noWrap/>
          </w:tcPr>
          <w:p w14:paraId="4F082888" w14:textId="3E3A1673" w:rsidR="001C6D64" w:rsidRPr="001C6D64" w:rsidRDefault="2248451C" w:rsidP="2248451C">
            <w:pPr>
              <w:overflowPunct w:val="0"/>
              <w:autoSpaceDE w:val="0"/>
              <w:autoSpaceDN w:val="0"/>
              <w:adjustRightInd w:val="0"/>
              <w:ind w:left="512" w:hanging="512"/>
              <w:jc w:val="right"/>
              <w:textAlignment w:val="baseline"/>
              <w:rPr>
                <w:b/>
                <w:bCs/>
                <w:sz w:val="20"/>
              </w:rPr>
            </w:pPr>
            <w:r w:rsidRPr="2248451C">
              <w:rPr>
                <w:b/>
                <w:bCs/>
                <w:sz w:val="20"/>
              </w:rPr>
              <w:t>96,5</w:t>
            </w:r>
          </w:p>
        </w:tc>
      </w:tr>
    </w:tbl>
    <w:p w14:paraId="07F56E81" w14:textId="0D8D31ED" w:rsidR="00395135" w:rsidRDefault="2248451C" w:rsidP="00F9316E">
      <w:pPr>
        <w:spacing w:before="240"/>
      </w:pPr>
      <w:r>
        <w:t xml:space="preserve">A </w:t>
      </w:r>
      <w:r w:rsidRPr="2248451C">
        <w:rPr>
          <w:b/>
          <w:bCs/>
        </w:rPr>
        <w:t xml:space="preserve">kisadózók tételes adójából </w:t>
      </w:r>
      <w:r>
        <w:t>származó bevétel 2020 első hét hónapjában 85,3</w:t>
      </w:r>
      <w:r w:rsidR="006943FC">
        <w:t> </w:t>
      </w:r>
      <w:r>
        <w:t>milliárd forint volt, mely 4,</w:t>
      </w:r>
      <w:r w:rsidR="004A2CA7">
        <w:t>4</w:t>
      </w:r>
      <w:r w:rsidR="006943FC">
        <w:t> </w:t>
      </w:r>
      <w:r>
        <w:t>milliárd forinttal marad</w:t>
      </w:r>
      <w:r w:rsidR="004A2CA7">
        <w:t>t el</w:t>
      </w:r>
      <w:r>
        <w:t xml:space="preserve"> az egy évvel korábbi</w:t>
      </w:r>
      <w:r w:rsidR="004A2CA7">
        <w:t>tól</w:t>
      </w:r>
      <w:r>
        <w:t>. Bár az adóalanyok számának jelentős mértékű bővüléséből adódóan a halmozott adóbevételek meghaladnák az egy évvel korábbi, azonos időszaki összeget, a koronavírus</w:t>
      </w:r>
      <w:r w:rsidR="00164C34">
        <w:t>-</w:t>
      </w:r>
      <w:r>
        <w:t>járvány negatív gazdasági hatásai és az azok mérséklésére alkotott kedvezmények hatása már negyedik hónapja megjelenik a pénzforgalmi adatokban</w:t>
      </w:r>
      <w:r w:rsidR="00164C34">
        <w:t>. Í</w:t>
      </w:r>
      <w:r>
        <w:t>gy a bevétel elmarad</w:t>
      </w:r>
      <w:r w:rsidR="00164C34">
        <w:t>t</w:t>
      </w:r>
      <w:r>
        <w:t xml:space="preserve"> az előző évi</w:t>
      </w:r>
      <w:r w:rsidR="00164C34">
        <w:t xml:space="preserve"> azonos időszaki összegtől.</w:t>
      </w:r>
    </w:p>
    <w:p w14:paraId="5E54FA10" w14:textId="00F83316" w:rsidR="006A142D" w:rsidRDefault="2248451C" w:rsidP="00F9316E">
      <w:pPr>
        <w:spacing w:before="240"/>
      </w:pPr>
      <w:r>
        <w:t xml:space="preserve">A </w:t>
      </w:r>
      <w:r w:rsidRPr="2248451C">
        <w:rPr>
          <w:b/>
          <w:bCs/>
        </w:rPr>
        <w:t xml:space="preserve">kisvállalati adóból </w:t>
      </w:r>
      <w:r>
        <w:t>származó bevétel 2020 első hét hónapjában 52,9</w:t>
      </w:r>
      <w:r w:rsidR="001E426F">
        <w:t> </w:t>
      </w:r>
      <w:r>
        <w:t>milliárd forint volt, mely 7,</w:t>
      </w:r>
      <w:r w:rsidR="009A5648">
        <w:t>6</w:t>
      </w:r>
      <w:r w:rsidR="001E426F">
        <w:t> </w:t>
      </w:r>
      <w:r>
        <w:t>milliárd forinttal magasabb az egy évvel korábbinál, melynek oka az adóalanyok számának jelentős mértékű bővülése.</w:t>
      </w:r>
    </w:p>
    <w:p w14:paraId="3DC1E74F" w14:textId="5F2149C8" w:rsidR="004702E7" w:rsidRDefault="2248451C" w:rsidP="004702E7">
      <w:pPr>
        <w:spacing w:before="240"/>
      </w:pPr>
      <w:r>
        <w:t>Az év első hét hónapjában</w:t>
      </w:r>
      <w:r w:rsidRPr="2248451C">
        <w:rPr>
          <w:b/>
          <w:bCs/>
        </w:rPr>
        <w:t xml:space="preserve"> általános forgalmi adó</w:t>
      </w:r>
      <w:r>
        <w:t>ból 2492,4</w:t>
      </w:r>
      <w:r w:rsidR="00373AFA">
        <w:t> </w:t>
      </w:r>
      <w:r>
        <w:t>milliárd forint bevétele keletkezett a költségvetésnek, ami az egy évvel korábbi bevételtől 100,1</w:t>
      </w:r>
      <w:r w:rsidR="00373AFA">
        <w:t> </w:t>
      </w:r>
      <w:r>
        <w:t>milliárd forinttal maradt el:</w:t>
      </w:r>
    </w:p>
    <w:tbl>
      <w:tblPr>
        <w:tblW w:w="6373" w:type="dxa"/>
        <w:jc w:val="center"/>
        <w:tblCellMar>
          <w:left w:w="70" w:type="dxa"/>
          <w:right w:w="70" w:type="dxa"/>
        </w:tblCellMar>
        <w:tblLook w:val="04A0" w:firstRow="1" w:lastRow="0" w:firstColumn="1" w:lastColumn="0" w:noHBand="0" w:noVBand="1"/>
      </w:tblPr>
      <w:tblGrid>
        <w:gridCol w:w="1448"/>
        <w:gridCol w:w="1383"/>
        <w:gridCol w:w="1287"/>
        <w:gridCol w:w="905"/>
        <w:gridCol w:w="1350"/>
      </w:tblGrid>
      <w:tr w:rsidR="004702E7" w:rsidRPr="00DB1A96" w14:paraId="2CDE1D04" w14:textId="77777777" w:rsidTr="2248451C">
        <w:trPr>
          <w:trHeight w:val="255"/>
          <w:jc w:val="center"/>
        </w:trPr>
        <w:tc>
          <w:tcPr>
            <w:tcW w:w="6373" w:type="dxa"/>
            <w:gridSpan w:val="5"/>
            <w:tcBorders>
              <w:top w:val="nil"/>
              <w:left w:val="nil"/>
              <w:bottom w:val="nil"/>
              <w:right w:val="nil"/>
            </w:tcBorders>
            <w:shd w:val="clear" w:color="auto" w:fill="auto"/>
            <w:noWrap/>
            <w:vAlign w:val="bottom"/>
            <w:hideMark/>
          </w:tcPr>
          <w:p w14:paraId="193F4F9E" w14:textId="77777777" w:rsidR="004702E7" w:rsidRPr="00DB1A96" w:rsidRDefault="2248451C" w:rsidP="2248451C">
            <w:pPr>
              <w:jc w:val="center"/>
              <w:rPr>
                <w:b/>
                <w:bCs/>
                <w:color w:val="000000" w:themeColor="text1"/>
                <w:sz w:val="20"/>
              </w:rPr>
            </w:pPr>
            <w:r w:rsidRPr="2248451C">
              <w:rPr>
                <w:b/>
                <w:bCs/>
                <w:color w:val="000000" w:themeColor="text1"/>
                <w:sz w:val="20"/>
              </w:rPr>
              <w:t>Általános forgalmi adó bevétel alakulása (milliárd forint)</w:t>
            </w:r>
          </w:p>
        </w:tc>
      </w:tr>
      <w:tr w:rsidR="004702E7" w:rsidRPr="00DB1A96" w14:paraId="6088BDF7" w14:textId="77777777" w:rsidTr="2248451C">
        <w:trPr>
          <w:trHeight w:val="465"/>
          <w:jc w:val="center"/>
        </w:trPr>
        <w:tc>
          <w:tcPr>
            <w:tcW w:w="1448" w:type="dxa"/>
            <w:vMerge w:val="restart"/>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600BFA44" w14:textId="77777777" w:rsidR="004702E7" w:rsidRPr="00DB1A96" w:rsidRDefault="2248451C" w:rsidP="2248451C">
            <w:pPr>
              <w:spacing w:after="0"/>
              <w:jc w:val="center"/>
              <w:rPr>
                <w:b/>
                <w:bCs/>
                <w:color w:val="000000" w:themeColor="text1"/>
                <w:sz w:val="20"/>
              </w:rPr>
            </w:pPr>
            <w:r w:rsidRPr="2248451C">
              <w:rPr>
                <w:b/>
                <w:bCs/>
                <w:color w:val="000000" w:themeColor="text1"/>
                <w:sz w:val="20"/>
              </w:rPr>
              <w:t>Megnevezés</w:t>
            </w:r>
          </w:p>
        </w:tc>
        <w:tc>
          <w:tcPr>
            <w:tcW w:w="1383"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468CFE69" w14:textId="36B79151" w:rsidR="004702E7" w:rsidRPr="00DB1A96" w:rsidRDefault="2248451C" w:rsidP="2248451C">
            <w:pPr>
              <w:spacing w:after="0"/>
              <w:jc w:val="center"/>
              <w:rPr>
                <w:b/>
                <w:bCs/>
                <w:sz w:val="20"/>
              </w:rPr>
            </w:pPr>
            <w:r w:rsidRPr="2248451C">
              <w:rPr>
                <w:b/>
                <w:bCs/>
                <w:sz w:val="20"/>
              </w:rPr>
              <w:t>2019.</w:t>
            </w:r>
            <w:r w:rsidR="6D01B43F">
              <w:br/>
            </w:r>
            <w:r w:rsidRPr="2248451C">
              <w:rPr>
                <w:b/>
                <w:bCs/>
                <w:sz w:val="20"/>
              </w:rPr>
              <w:t>I-VII. hó</w:t>
            </w:r>
          </w:p>
        </w:tc>
        <w:tc>
          <w:tcPr>
            <w:tcW w:w="1287"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2A08D7B7" w14:textId="3B4FF169" w:rsidR="004702E7" w:rsidRPr="00DB1A96" w:rsidRDefault="2248451C" w:rsidP="2248451C">
            <w:pPr>
              <w:spacing w:after="0"/>
              <w:jc w:val="center"/>
              <w:rPr>
                <w:b/>
                <w:bCs/>
                <w:sz w:val="20"/>
              </w:rPr>
            </w:pPr>
            <w:r w:rsidRPr="2248451C">
              <w:rPr>
                <w:b/>
                <w:bCs/>
                <w:sz w:val="20"/>
              </w:rPr>
              <w:t>2020.</w:t>
            </w:r>
            <w:r w:rsidR="6D01B43F">
              <w:br/>
            </w:r>
            <w:r w:rsidRPr="2248451C">
              <w:rPr>
                <w:b/>
                <w:bCs/>
                <w:sz w:val="20"/>
              </w:rPr>
              <w:t>I-VII. hó</w:t>
            </w:r>
          </w:p>
        </w:tc>
        <w:tc>
          <w:tcPr>
            <w:tcW w:w="2255" w:type="dxa"/>
            <w:gridSpan w:val="2"/>
            <w:tcBorders>
              <w:top w:val="single" w:sz="8" w:space="0" w:color="auto"/>
              <w:left w:val="nil"/>
              <w:bottom w:val="single" w:sz="4" w:space="0" w:color="auto"/>
              <w:right w:val="single" w:sz="8" w:space="0" w:color="000000" w:themeColor="text1"/>
            </w:tcBorders>
            <w:shd w:val="clear" w:color="auto" w:fill="auto"/>
            <w:noWrap/>
            <w:vAlign w:val="center"/>
            <w:hideMark/>
          </w:tcPr>
          <w:p w14:paraId="30484B97" w14:textId="77777777" w:rsidR="004702E7" w:rsidRPr="00DB1A96" w:rsidRDefault="2248451C" w:rsidP="2248451C">
            <w:pPr>
              <w:spacing w:after="0"/>
              <w:jc w:val="center"/>
              <w:rPr>
                <w:b/>
                <w:bCs/>
                <w:color w:val="000000" w:themeColor="text1"/>
                <w:sz w:val="20"/>
              </w:rPr>
            </w:pPr>
            <w:r w:rsidRPr="2248451C">
              <w:rPr>
                <w:b/>
                <w:bCs/>
                <w:color w:val="000000" w:themeColor="text1"/>
                <w:sz w:val="20"/>
              </w:rPr>
              <w:t>Eltérés</w:t>
            </w:r>
          </w:p>
        </w:tc>
      </w:tr>
      <w:tr w:rsidR="004702E7" w:rsidRPr="00DB1A96" w14:paraId="6FBF33D6" w14:textId="77777777" w:rsidTr="2248451C">
        <w:trPr>
          <w:trHeight w:val="465"/>
          <w:jc w:val="center"/>
        </w:trPr>
        <w:tc>
          <w:tcPr>
            <w:tcW w:w="1448" w:type="dxa"/>
            <w:vMerge/>
            <w:tcBorders>
              <w:top w:val="single" w:sz="8" w:space="0" w:color="auto"/>
              <w:left w:val="single" w:sz="8" w:space="0" w:color="auto"/>
              <w:bottom w:val="single" w:sz="8" w:space="0" w:color="000000"/>
              <w:right w:val="single" w:sz="8" w:space="0" w:color="auto"/>
            </w:tcBorders>
            <w:vAlign w:val="center"/>
            <w:hideMark/>
          </w:tcPr>
          <w:p w14:paraId="78EC8BF6" w14:textId="77777777" w:rsidR="004702E7" w:rsidRPr="00DB1A96" w:rsidRDefault="004702E7" w:rsidP="009E7E25">
            <w:pPr>
              <w:spacing w:after="0"/>
              <w:jc w:val="left"/>
              <w:rPr>
                <w:b/>
                <w:bCs/>
                <w:color w:val="000000"/>
                <w:sz w:val="20"/>
              </w:rPr>
            </w:pPr>
          </w:p>
        </w:tc>
        <w:tc>
          <w:tcPr>
            <w:tcW w:w="1383" w:type="dxa"/>
            <w:vMerge/>
            <w:tcBorders>
              <w:top w:val="single" w:sz="8" w:space="0" w:color="auto"/>
              <w:left w:val="single" w:sz="8" w:space="0" w:color="auto"/>
              <w:bottom w:val="single" w:sz="8" w:space="0" w:color="000000"/>
              <w:right w:val="single" w:sz="8" w:space="0" w:color="auto"/>
            </w:tcBorders>
            <w:vAlign w:val="center"/>
            <w:hideMark/>
          </w:tcPr>
          <w:p w14:paraId="25C25767" w14:textId="77777777" w:rsidR="004702E7" w:rsidRPr="00DB1A96" w:rsidRDefault="004702E7" w:rsidP="009E7E25">
            <w:pPr>
              <w:spacing w:after="0"/>
              <w:jc w:val="left"/>
              <w:rPr>
                <w:b/>
                <w:bCs/>
                <w:sz w:val="20"/>
              </w:rPr>
            </w:pPr>
          </w:p>
        </w:tc>
        <w:tc>
          <w:tcPr>
            <w:tcW w:w="1287" w:type="dxa"/>
            <w:vMerge/>
            <w:tcBorders>
              <w:top w:val="single" w:sz="8" w:space="0" w:color="auto"/>
              <w:left w:val="single" w:sz="8" w:space="0" w:color="auto"/>
              <w:bottom w:val="single" w:sz="8" w:space="0" w:color="000000"/>
              <w:right w:val="single" w:sz="8" w:space="0" w:color="auto"/>
            </w:tcBorders>
            <w:vAlign w:val="center"/>
            <w:hideMark/>
          </w:tcPr>
          <w:p w14:paraId="2B9FC7C9" w14:textId="77777777" w:rsidR="004702E7" w:rsidRPr="00DB1A96" w:rsidRDefault="004702E7" w:rsidP="009E7E25">
            <w:pPr>
              <w:spacing w:after="0"/>
              <w:jc w:val="left"/>
              <w:rPr>
                <w:b/>
                <w:bCs/>
                <w:sz w:val="20"/>
              </w:rPr>
            </w:pPr>
          </w:p>
        </w:tc>
        <w:tc>
          <w:tcPr>
            <w:tcW w:w="905" w:type="dxa"/>
            <w:tcBorders>
              <w:top w:val="nil"/>
              <w:left w:val="nil"/>
              <w:bottom w:val="single" w:sz="8" w:space="0" w:color="auto"/>
              <w:right w:val="single" w:sz="4" w:space="0" w:color="auto"/>
            </w:tcBorders>
            <w:shd w:val="clear" w:color="auto" w:fill="auto"/>
            <w:noWrap/>
            <w:vAlign w:val="center"/>
            <w:hideMark/>
          </w:tcPr>
          <w:p w14:paraId="2BC03ACB" w14:textId="77777777" w:rsidR="004702E7" w:rsidRPr="00DB1A96" w:rsidRDefault="2248451C" w:rsidP="2248451C">
            <w:pPr>
              <w:spacing w:after="0"/>
              <w:jc w:val="center"/>
              <w:rPr>
                <w:b/>
                <w:bCs/>
                <w:color w:val="000000" w:themeColor="text1"/>
                <w:sz w:val="20"/>
              </w:rPr>
            </w:pPr>
            <w:r w:rsidRPr="2248451C">
              <w:rPr>
                <w:b/>
                <w:bCs/>
                <w:color w:val="000000" w:themeColor="text1"/>
                <w:sz w:val="20"/>
              </w:rPr>
              <w:t>Mrd Ft</w:t>
            </w:r>
          </w:p>
        </w:tc>
        <w:tc>
          <w:tcPr>
            <w:tcW w:w="1350" w:type="dxa"/>
            <w:tcBorders>
              <w:top w:val="nil"/>
              <w:left w:val="nil"/>
              <w:bottom w:val="single" w:sz="8" w:space="0" w:color="auto"/>
              <w:right w:val="single" w:sz="8" w:space="0" w:color="auto"/>
            </w:tcBorders>
            <w:shd w:val="clear" w:color="auto" w:fill="auto"/>
            <w:noWrap/>
            <w:vAlign w:val="center"/>
            <w:hideMark/>
          </w:tcPr>
          <w:p w14:paraId="089C503F" w14:textId="77777777" w:rsidR="004702E7" w:rsidRPr="00DB1A96" w:rsidRDefault="2248451C" w:rsidP="2248451C">
            <w:pPr>
              <w:spacing w:after="0"/>
              <w:jc w:val="center"/>
              <w:rPr>
                <w:b/>
                <w:bCs/>
                <w:color w:val="000000" w:themeColor="text1"/>
                <w:sz w:val="20"/>
              </w:rPr>
            </w:pPr>
            <w:r w:rsidRPr="2248451C">
              <w:rPr>
                <w:b/>
                <w:bCs/>
                <w:color w:val="000000" w:themeColor="text1"/>
                <w:sz w:val="20"/>
              </w:rPr>
              <w:t>%</w:t>
            </w:r>
          </w:p>
        </w:tc>
      </w:tr>
      <w:tr w:rsidR="003401B6" w:rsidRPr="00DB1A96" w14:paraId="696B4B9D" w14:textId="77777777" w:rsidTr="2248451C">
        <w:trPr>
          <w:trHeight w:val="270"/>
          <w:jc w:val="center"/>
        </w:trPr>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1534865D" w14:textId="77777777" w:rsidR="003401B6" w:rsidRPr="00DB1A96" w:rsidRDefault="2248451C" w:rsidP="2248451C">
            <w:pPr>
              <w:spacing w:after="0"/>
              <w:jc w:val="center"/>
              <w:rPr>
                <w:b/>
                <w:bCs/>
                <w:sz w:val="20"/>
              </w:rPr>
            </w:pPr>
            <w:r w:rsidRPr="2248451C">
              <w:rPr>
                <w:b/>
                <w:bCs/>
                <w:sz w:val="20"/>
              </w:rPr>
              <w:t>Befizetés</w:t>
            </w:r>
          </w:p>
        </w:tc>
        <w:tc>
          <w:tcPr>
            <w:tcW w:w="1383" w:type="dxa"/>
            <w:tcBorders>
              <w:top w:val="nil"/>
              <w:left w:val="nil"/>
              <w:bottom w:val="single" w:sz="4" w:space="0" w:color="auto"/>
              <w:right w:val="single" w:sz="8" w:space="0" w:color="auto"/>
            </w:tcBorders>
            <w:shd w:val="clear" w:color="auto" w:fill="auto"/>
            <w:noWrap/>
          </w:tcPr>
          <w:p w14:paraId="1B136DBC" w14:textId="57294357" w:rsidR="003401B6" w:rsidRPr="003401B6" w:rsidRDefault="2248451C" w:rsidP="2248451C">
            <w:pPr>
              <w:spacing w:after="0"/>
              <w:jc w:val="right"/>
              <w:rPr>
                <w:sz w:val="20"/>
              </w:rPr>
            </w:pPr>
            <w:r w:rsidRPr="2248451C">
              <w:rPr>
                <w:sz w:val="20"/>
              </w:rPr>
              <w:t>4</w:t>
            </w:r>
            <w:r w:rsidR="0007698D">
              <w:rPr>
                <w:sz w:val="20"/>
              </w:rPr>
              <w:t xml:space="preserve"> </w:t>
            </w:r>
            <w:r w:rsidRPr="2248451C">
              <w:rPr>
                <w:sz w:val="20"/>
              </w:rPr>
              <w:t>337,7</w:t>
            </w:r>
          </w:p>
        </w:tc>
        <w:tc>
          <w:tcPr>
            <w:tcW w:w="1287" w:type="dxa"/>
            <w:tcBorders>
              <w:top w:val="nil"/>
              <w:left w:val="nil"/>
              <w:bottom w:val="single" w:sz="4" w:space="0" w:color="auto"/>
              <w:right w:val="single" w:sz="8" w:space="0" w:color="auto"/>
            </w:tcBorders>
            <w:shd w:val="clear" w:color="auto" w:fill="auto"/>
            <w:noWrap/>
          </w:tcPr>
          <w:p w14:paraId="536597DE" w14:textId="086141F3" w:rsidR="003401B6" w:rsidRPr="003401B6" w:rsidRDefault="2248451C" w:rsidP="2248451C">
            <w:pPr>
              <w:spacing w:after="0"/>
              <w:jc w:val="right"/>
              <w:rPr>
                <w:sz w:val="20"/>
              </w:rPr>
            </w:pPr>
            <w:r w:rsidRPr="2248451C">
              <w:rPr>
                <w:sz w:val="20"/>
              </w:rPr>
              <w:t>4</w:t>
            </w:r>
            <w:r w:rsidR="0007698D">
              <w:rPr>
                <w:sz w:val="20"/>
              </w:rPr>
              <w:t xml:space="preserve"> </w:t>
            </w:r>
            <w:r w:rsidRPr="2248451C">
              <w:rPr>
                <w:sz w:val="20"/>
              </w:rPr>
              <w:t>382,4</w:t>
            </w:r>
          </w:p>
        </w:tc>
        <w:tc>
          <w:tcPr>
            <w:tcW w:w="905" w:type="dxa"/>
            <w:tcBorders>
              <w:top w:val="nil"/>
              <w:left w:val="nil"/>
              <w:bottom w:val="single" w:sz="4" w:space="0" w:color="auto"/>
              <w:right w:val="single" w:sz="4" w:space="0" w:color="auto"/>
            </w:tcBorders>
            <w:shd w:val="clear" w:color="auto" w:fill="auto"/>
            <w:noWrap/>
          </w:tcPr>
          <w:p w14:paraId="7B7FFFEE" w14:textId="65B660F5" w:rsidR="003401B6" w:rsidRPr="003401B6" w:rsidRDefault="2248451C" w:rsidP="2248451C">
            <w:pPr>
              <w:spacing w:after="0"/>
              <w:jc w:val="right"/>
              <w:rPr>
                <w:sz w:val="20"/>
              </w:rPr>
            </w:pPr>
            <w:r w:rsidRPr="2248451C">
              <w:rPr>
                <w:sz w:val="20"/>
              </w:rPr>
              <w:t>44,7</w:t>
            </w:r>
          </w:p>
        </w:tc>
        <w:tc>
          <w:tcPr>
            <w:tcW w:w="1350" w:type="dxa"/>
            <w:tcBorders>
              <w:top w:val="nil"/>
              <w:left w:val="nil"/>
              <w:bottom w:val="single" w:sz="4" w:space="0" w:color="auto"/>
              <w:right w:val="single" w:sz="8" w:space="0" w:color="auto"/>
            </w:tcBorders>
            <w:shd w:val="clear" w:color="auto" w:fill="auto"/>
            <w:noWrap/>
          </w:tcPr>
          <w:p w14:paraId="788A36F5" w14:textId="7BD03B69" w:rsidR="003401B6" w:rsidRPr="003401B6" w:rsidRDefault="2248451C" w:rsidP="2248451C">
            <w:pPr>
              <w:spacing w:after="0"/>
              <w:jc w:val="right"/>
              <w:rPr>
                <w:color w:val="000000" w:themeColor="text1"/>
                <w:sz w:val="20"/>
              </w:rPr>
            </w:pPr>
            <w:r w:rsidRPr="2248451C">
              <w:rPr>
                <w:sz w:val="20"/>
              </w:rPr>
              <w:t>101,0</w:t>
            </w:r>
          </w:p>
        </w:tc>
      </w:tr>
      <w:tr w:rsidR="003401B6" w:rsidRPr="00DB1A96" w14:paraId="6B18998E" w14:textId="77777777" w:rsidTr="2248451C">
        <w:trPr>
          <w:trHeight w:val="270"/>
          <w:jc w:val="center"/>
        </w:trPr>
        <w:tc>
          <w:tcPr>
            <w:tcW w:w="1448" w:type="dxa"/>
            <w:tcBorders>
              <w:top w:val="nil"/>
              <w:left w:val="single" w:sz="8" w:space="0" w:color="auto"/>
              <w:bottom w:val="single" w:sz="4" w:space="0" w:color="auto"/>
              <w:right w:val="single" w:sz="8" w:space="0" w:color="auto"/>
            </w:tcBorders>
            <w:shd w:val="clear" w:color="auto" w:fill="auto"/>
            <w:noWrap/>
            <w:vAlign w:val="center"/>
            <w:hideMark/>
          </w:tcPr>
          <w:p w14:paraId="5440B48E" w14:textId="77777777" w:rsidR="003401B6" w:rsidRPr="00DB1A96" w:rsidRDefault="2248451C" w:rsidP="2248451C">
            <w:pPr>
              <w:spacing w:after="0"/>
              <w:jc w:val="center"/>
              <w:rPr>
                <w:b/>
                <w:bCs/>
                <w:sz w:val="20"/>
              </w:rPr>
            </w:pPr>
            <w:r w:rsidRPr="2248451C">
              <w:rPr>
                <w:b/>
                <w:bCs/>
                <w:sz w:val="20"/>
              </w:rPr>
              <w:t>Kiutalás</w:t>
            </w:r>
          </w:p>
        </w:tc>
        <w:tc>
          <w:tcPr>
            <w:tcW w:w="1383" w:type="dxa"/>
            <w:tcBorders>
              <w:top w:val="nil"/>
              <w:left w:val="nil"/>
              <w:bottom w:val="single" w:sz="4" w:space="0" w:color="auto"/>
              <w:right w:val="single" w:sz="8" w:space="0" w:color="auto"/>
            </w:tcBorders>
            <w:shd w:val="clear" w:color="auto" w:fill="auto"/>
            <w:noWrap/>
          </w:tcPr>
          <w:p w14:paraId="515B825A" w14:textId="30D14790" w:rsidR="003401B6" w:rsidRPr="003401B6" w:rsidRDefault="2248451C" w:rsidP="00135BA6">
            <w:pPr>
              <w:spacing w:after="0"/>
              <w:jc w:val="right"/>
              <w:rPr>
                <w:sz w:val="20"/>
              </w:rPr>
            </w:pPr>
            <w:r w:rsidRPr="2248451C">
              <w:rPr>
                <w:sz w:val="20"/>
              </w:rPr>
              <w:t>1</w:t>
            </w:r>
            <w:r w:rsidR="0007698D">
              <w:rPr>
                <w:sz w:val="20"/>
              </w:rPr>
              <w:t xml:space="preserve"> </w:t>
            </w:r>
            <w:r w:rsidRPr="2248451C">
              <w:rPr>
                <w:sz w:val="20"/>
              </w:rPr>
              <w:t>745,</w:t>
            </w:r>
            <w:r w:rsidR="00135BA6">
              <w:rPr>
                <w:sz w:val="20"/>
              </w:rPr>
              <w:t>2</w:t>
            </w:r>
          </w:p>
        </w:tc>
        <w:tc>
          <w:tcPr>
            <w:tcW w:w="1287" w:type="dxa"/>
            <w:tcBorders>
              <w:top w:val="nil"/>
              <w:left w:val="nil"/>
              <w:bottom w:val="single" w:sz="4" w:space="0" w:color="auto"/>
              <w:right w:val="single" w:sz="8" w:space="0" w:color="auto"/>
            </w:tcBorders>
            <w:shd w:val="clear" w:color="auto" w:fill="auto"/>
            <w:noWrap/>
          </w:tcPr>
          <w:p w14:paraId="3EA49D92" w14:textId="4EB64141" w:rsidR="003401B6" w:rsidRPr="003401B6" w:rsidRDefault="2248451C" w:rsidP="00B40F4D">
            <w:pPr>
              <w:spacing w:after="0"/>
              <w:jc w:val="right"/>
              <w:rPr>
                <w:sz w:val="20"/>
              </w:rPr>
            </w:pPr>
            <w:r w:rsidRPr="2248451C">
              <w:rPr>
                <w:sz w:val="20"/>
              </w:rPr>
              <w:t>1</w:t>
            </w:r>
            <w:r w:rsidR="00B40F4D">
              <w:rPr>
                <w:sz w:val="20"/>
              </w:rPr>
              <w:t xml:space="preserve"> </w:t>
            </w:r>
            <w:r w:rsidRPr="2248451C">
              <w:rPr>
                <w:sz w:val="20"/>
              </w:rPr>
              <w:t>8</w:t>
            </w:r>
            <w:r w:rsidR="00B40F4D">
              <w:rPr>
                <w:sz w:val="20"/>
              </w:rPr>
              <w:t>90,0</w:t>
            </w:r>
          </w:p>
        </w:tc>
        <w:tc>
          <w:tcPr>
            <w:tcW w:w="905" w:type="dxa"/>
            <w:tcBorders>
              <w:top w:val="nil"/>
              <w:left w:val="nil"/>
              <w:bottom w:val="single" w:sz="4" w:space="0" w:color="auto"/>
              <w:right w:val="single" w:sz="4" w:space="0" w:color="auto"/>
            </w:tcBorders>
            <w:shd w:val="clear" w:color="auto" w:fill="auto"/>
            <w:noWrap/>
          </w:tcPr>
          <w:p w14:paraId="4C3DD2F0" w14:textId="6CB714EE" w:rsidR="003401B6" w:rsidRPr="003401B6" w:rsidRDefault="2248451C" w:rsidP="2248451C">
            <w:pPr>
              <w:spacing w:after="0"/>
              <w:jc w:val="right"/>
              <w:rPr>
                <w:sz w:val="20"/>
              </w:rPr>
            </w:pPr>
            <w:r w:rsidRPr="2248451C">
              <w:rPr>
                <w:sz w:val="20"/>
              </w:rPr>
              <w:t>144,8</w:t>
            </w:r>
          </w:p>
        </w:tc>
        <w:tc>
          <w:tcPr>
            <w:tcW w:w="1350" w:type="dxa"/>
            <w:tcBorders>
              <w:top w:val="nil"/>
              <w:left w:val="nil"/>
              <w:bottom w:val="single" w:sz="4" w:space="0" w:color="auto"/>
              <w:right w:val="single" w:sz="8" w:space="0" w:color="auto"/>
            </w:tcBorders>
            <w:shd w:val="clear" w:color="auto" w:fill="auto"/>
            <w:noWrap/>
          </w:tcPr>
          <w:p w14:paraId="7AD2266A" w14:textId="251FF244" w:rsidR="003401B6" w:rsidRPr="003401B6" w:rsidRDefault="2248451C" w:rsidP="2248451C">
            <w:pPr>
              <w:spacing w:after="0"/>
              <w:jc w:val="right"/>
              <w:rPr>
                <w:color w:val="000000" w:themeColor="text1"/>
                <w:sz w:val="20"/>
              </w:rPr>
            </w:pPr>
            <w:r w:rsidRPr="2248451C">
              <w:rPr>
                <w:sz w:val="20"/>
              </w:rPr>
              <w:t>108,3</w:t>
            </w:r>
          </w:p>
        </w:tc>
      </w:tr>
      <w:tr w:rsidR="003401B6" w:rsidRPr="003401B6" w14:paraId="6B4C6B67" w14:textId="77777777" w:rsidTr="2248451C">
        <w:trPr>
          <w:trHeight w:val="270"/>
          <w:jc w:val="center"/>
        </w:trPr>
        <w:tc>
          <w:tcPr>
            <w:tcW w:w="1448" w:type="dxa"/>
            <w:tcBorders>
              <w:top w:val="nil"/>
              <w:left w:val="single" w:sz="8" w:space="0" w:color="auto"/>
              <w:bottom w:val="single" w:sz="8" w:space="0" w:color="auto"/>
              <w:right w:val="single" w:sz="8" w:space="0" w:color="auto"/>
            </w:tcBorders>
            <w:shd w:val="clear" w:color="auto" w:fill="auto"/>
            <w:noWrap/>
            <w:vAlign w:val="center"/>
            <w:hideMark/>
          </w:tcPr>
          <w:p w14:paraId="29C7CFE7" w14:textId="77777777" w:rsidR="003401B6" w:rsidRPr="00DB1A96" w:rsidRDefault="2248451C" w:rsidP="2248451C">
            <w:pPr>
              <w:spacing w:after="0"/>
              <w:jc w:val="center"/>
              <w:rPr>
                <w:b/>
                <w:bCs/>
                <w:sz w:val="20"/>
              </w:rPr>
            </w:pPr>
            <w:r w:rsidRPr="2248451C">
              <w:rPr>
                <w:b/>
                <w:bCs/>
                <w:sz w:val="20"/>
              </w:rPr>
              <w:t>Egyenleg</w:t>
            </w:r>
          </w:p>
        </w:tc>
        <w:tc>
          <w:tcPr>
            <w:tcW w:w="1383" w:type="dxa"/>
            <w:tcBorders>
              <w:top w:val="nil"/>
              <w:left w:val="nil"/>
              <w:bottom w:val="single" w:sz="8" w:space="0" w:color="auto"/>
              <w:right w:val="single" w:sz="8" w:space="0" w:color="auto"/>
            </w:tcBorders>
            <w:shd w:val="clear" w:color="auto" w:fill="auto"/>
            <w:noWrap/>
          </w:tcPr>
          <w:p w14:paraId="717F995F" w14:textId="2E1F7892" w:rsidR="003401B6" w:rsidRPr="003401B6" w:rsidRDefault="2248451C" w:rsidP="2248451C">
            <w:pPr>
              <w:spacing w:after="0"/>
              <w:jc w:val="right"/>
              <w:rPr>
                <w:b/>
                <w:bCs/>
                <w:sz w:val="20"/>
              </w:rPr>
            </w:pPr>
            <w:r w:rsidRPr="2248451C">
              <w:rPr>
                <w:b/>
                <w:bCs/>
                <w:sz w:val="20"/>
              </w:rPr>
              <w:t>2</w:t>
            </w:r>
            <w:r w:rsidR="0007698D">
              <w:rPr>
                <w:b/>
                <w:bCs/>
                <w:sz w:val="20"/>
              </w:rPr>
              <w:t xml:space="preserve"> </w:t>
            </w:r>
            <w:r w:rsidRPr="2248451C">
              <w:rPr>
                <w:b/>
                <w:bCs/>
                <w:sz w:val="20"/>
              </w:rPr>
              <w:t>592,5</w:t>
            </w:r>
          </w:p>
        </w:tc>
        <w:tc>
          <w:tcPr>
            <w:tcW w:w="1287" w:type="dxa"/>
            <w:tcBorders>
              <w:top w:val="nil"/>
              <w:left w:val="nil"/>
              <w:bottom w:val="single" w:sz="8" w:space="0" w:color="auto"/>
              <w:right w:val="single" w:sz="8" w:space="0" w:color="auto"/>
            </w:tcBorders>
            <w:shd w:val="clear" w:color="auto" w:fill="auto"/>
            <w:noWrap/>
          </w:tcPr>
          <w:p w14:paraId="472BC427" w14:textId="2524413F" w:rsidR="003401B6" w:rsidRPr="003401B6" w:rsidRDefault="2248451C" w:rsidP="2248451C">
            <w:pPr>
              <w:spacing w:after="0"/>
              <w:jc w:val="right"/>
              <w:rPr>
                <w:b/>
                <w:bCs/>
                <w:sz w:val="20"/>
              </w:rPr>
            </w:pPr>
            <w:r w:rsidRPr="2248451C">
              <w:rPr>
                <w:b/>
                <w:bCs/>
                <w:sz w:val="20"/>
              </w:rPr>
              <w:t>2</w:t>
            </w:r>
            <w:r w:rsidR="0007698D">
              <w:rPr>
                <w:b/>
                <w:bCs/>
                <w:sz w:val="20"/>
              </w:rPr>
              <w:t xml:space="preserve"> </w:t>
            </w:r>
            <w:r w:rsidRPr="2248451C">
              <w:rPr>
                <w:b/>
                <w:bCs/>
                <w:sz w:val="20"/>
              </w:rPr>
              <w:t>492,4</w:t>
            </w:r>
          </w:p>
        </w:tc>
        <w:tc>
          <w:tcPr>
            <w:tcW w:w="905" w:type="dxa"/>
            <w:tcBorders>
              <w:top w:val="nil"/>
              <w:left w:val="nil"/>
              <w:bottom w:val="single" w:sz="8" w:space="0" w:color="auto"/>
              <w:right w:val="single" w:sz="4" w:space="0" w:color="auto"/>
            </w:tcBorders>
            <w:shd w:val="clear" w:color="auto" w:fill="auto"/>
            <w:noWrap/>
          </w:tcPr>
          <w:p w14:paraId="7510E2B5" w14:textId="17DF9495" w:rsidR="003401B6" w:rsidRPr="003401B6" w:rsidRDefault="2248451C" w:rsidP="2248451C">
            <w:pPr>
              <w:spacing w:after="0"/>
              <w:jc w:val="right"/>
              <w:rPr>
                <w:b/>
                <w:bCs/>
                <w:sz w:val="20"/>
              </w:rPr>
            </w:pPr>
            <w:r w:rsidRPr="2248451C">
              <w:rPr>
                <w:b/>
                <w:bCs/>
                <w:sz w:val="20"/>
              </w:rPr>
              <w:t>-100,1</w:t>
            </w:r>
          </w:p>
        </w:tc>
        <w:tc>
          <w:tcPr>
            <w:tcW w:w="1350" w:type="dxa"/>
            <w:tcBorders>
              <w:top w:val="nil"/>
              <w:left w:val="nil"/>
              <w:bottom w:val="single" w:sz="8" w:space="0" w:color="auto"/>
              <w:right w:val="single" w:sz="8" w:space="0" w:color="auto"/>
            </w:tcBorders>
            <w:shd w:val="clear" w:color="auto" w:fill="auto"/>
            <w:noWrap/>
          </w:tcPr>
          <w:p w14:paraId="23D63217" w14:textId="67126FD2" w:rsidR="003401B6" w:rsidRPr="003401B6" w:rsidRDefault="2248451C" w:rsidP="2248451C">
            <w:pPr>
              <w:spacing w:after="0"/>
              <w:jc w:val="right"/>
              <w:rPr>
                <w:b/>
                <w:bCs/>
                <w:color w:val="000000" w:themeColor="text1"/>
                <w:sz w:val="20"/>
              </w:rPr>
            </w:pPr>
            <w:r w:rsidRPr="2248451C">
              <w:rPr>
                <w:b/>
                <w:bCs/>
                <w:sz w:val="20"/>
              </w:rPr>
              <w:t>96,1</w:t>
            </w:r>
          </w:p>
        </w:tc>
      </w:tr>
    </w:tbl>
    <w:p w14:paraId="2CDAF008" w14:textId="2CF9997E" w:rsidR="004702E7" w:rsidRDefault="2248451C" w:rsidP="003401B6">
      <w:pPr>
        <w:spacing w:before="240"/>
      </w:pPr>
      <w:r>
        <w:t>A dohánytermékek utáni áfabevétel növekedett, a belföldi és import áfabevétel csökkent. A belföldi befizetések alacsonyabb növekedési üteme tükrözi, hogy a koronavírus</w:t>
      </w:r>
      <w:r w:rsidR="00323D6D">
        <w:t>-</w:t>
      </w:r>
      <w:r>
        <w:t xml:space="preserve">járvány miatt számos ágazatban visszaesés következett be. A kiutalások növekedéséhez hozzájárult, hogy a némileg magasabb befizetésekhez magasabb kiutalások társulnak, valamint, hogy az adóhatóság a kkv-k számára elsőként az áprilisi bevallási időszakra vonatkozóan rövidebb kiutalási határidőt alkalmaz a visszaigényelhető áfa tekintetében (normál adózók esetében 75 napról 30 napra és a megbízható adózók esetében 30 napról </w:t>
      </w:r>
      <w:r>
        <w:lastRenderedPageBreak/>
        <w:t>20 napra csökkent a kiutalási határidő).</w:t>
      </w:r>
      <w:r w:rsidR="004972B7">
        <w:t xml:space="preserve"> </w:t>
      </w:r>
      <w:r>
        <w:t xml:space="preserve">A dohánytermékek utáni bevételek előző </w:t>
      </w:r>
      <w:r w:rsidR="003160C8">
        <w:t xml:space="preserve">év azonos időszakához </w:t>
      </w:r>
      <w:r>
        <w:t>viszonyított növekedését a 2019. januári és júliusi, valamint a 2020.</w:t>
      </w:r>
      <w:r w:rsidR="007D3857">
        <w:t> </w:t>
      </w:r>
      <w:r>
        <w:t>januári jövedéki adómérték-emelés, továbbá a forgalomnövekedés határozza meg. Az import utáni befizetések csökkenésének hátterében az alacsonyabb forgalom áll.</w:t>
      </w:r>
    </w:p>
    <w:p w14:paraId="59C29AD5" w14:textId="2F3B412B" w:rsidR="006D3044" w:rsidRDefault="006D3044" w:rsidP="40B3576B">
      <w:pPr>
        <w:spacing w:before="240"/>
      </w:pPr>
      <w:r>
        <w:rPr>
          <w:noProof/>
        </w:rPr>
        <w:drawing>
          <wp:inline distT="0" distB="0" distL="0" distR="0" wp14:anchorId="0F3FCB64" wp14:editId="31A1673C">
            <wp:extent cx="5940425" cy="3904615"/>
            <wp:effectExtent l="0" t="0" r="3175" b="63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fa.PNG"/>
                    <pic:cNvPicPr/>
                  </pic:nvPicPr>
                  <pic:blipFill>
                    <a:blip r:embed="rId16">
                      <a:extLst>
                        <a:ext uri="{28A0092B-C50C-407E-A947-70E740481C1C}">
                          <a14:useLocalDpi xmlns:a14="http://schemas.microsoft.com/office/drawing/2010/main" val="0"/>
                        </a:ext>
                      </a:extLst>
                    </a:blip>
                    <a:stretch>
                      <a:fillRect/>
                    </a:stretch>
                  </pic:blipFill>
                  <pic:spPr>
                    <a:xfrm>
                      <a:off x="0" y="0"/>
                      <a:ext cx="5940425" cy="3904615"/>
                    </a:xfrm>
                    <a:prstGeom prst="rect">
                      <a:avLst/>
                    </a:prstGeom>
                  </pic:spPr>
                </pic:pic>
              </a:graphicData>
            </a:graphic>
          </wp:inline>
        </w:drawing>
      </w:r>
    </w:p>
    <w:p w14:paraId="1F993D14" w14:textId="77777777" w:rsidR="00CA3028" w:rsidRDefault="00CA3028" w:rsidP="40B3576B">
      <w:pPr>
        <w:spacing w:before="240"/>
      </w:pPr>
    </w:p>
    <w:p w14:paraId="6A2BAA4C" w14:textId="024011CD" w:rsidR="009269C0" w:rsidRDefault="2248451C" w:rsidP="40B3576B">
      <w:pPr>
        <w:spacing w:before="240"/>
      </w:pPr>
      <w:r>
        <w:t xml:space="preserve">A </w:t>
      </w:r>
      <w:r w:rsidRPr="2248451C">
        <w:rPr>
          <w:b/>
          <w:bCs/>
        </w:rPr>
        <w:t>jövedéki adó</w:t>
      </w:r>
      <w:r>
        <w:t>ból származó bevétel az év első hét hónapjában 650,1</w:t>
      </w:r>
      <w:r w:rsidR="00143F1B">
        <w:t> </w:t>
      </w:r>
      <w:r>
        <w:t>milliárd forintot tett ki, amely 5,9</w:t>
      </w:r>
      <w:r w:rsidR="00143F1B">
        <w:t> </w:t>
      </w:r>
      <w:r>
        <w:t>milliárd forinttal alacsonyabb az egy évvel korábbi bevételnél.</w:t>
      </w:r>
    </w:p>
    <w:tbl>
      <w:tblPr>
        <w:tblW w:w="6679" w:type="dxa"/>
        <w:jc w:val="center"/>
        <w:tblCellMar>
          <w:left w:w="70" w:type="dxa"/>
          <w:right w:w="70" w:type="dxa"/>
        </w:tblCellMar>
        <w:tblLook w:val="04A0" w:firstRow="1" w:lastRow="0" w:firstColumn="1" w:lastColumn="0" w:noHBand="0" w:noVBand="1"/>
      </w:tblPr>
      <w:tblGrid>
        <w:gridCol w:w="3118"/>
        <w:gridCol w:w="993"/>
        <w:gridCol w:w="992"/>
        <w:gridCol w:w="709"/>
        <w:gridCol w:w="867"/>
      </w:tblGrid>
      <w:tr w:rsidR="00024A56" w:rsidRPr="00024A56" w14:paraId="3A81EA80" w14:textId="77777777" w:rsidTr="2248451C">
        <w:trPr>
          <w:trHeight w:val="255"/>
          <w:jc w:val="center"/>
        </w:trPr>
        <w:tc>
          <w:tcPr>
            <w:tcW w:w="6679" w:type="dxa"/>
            <w:gridSpan w:val="5"/>
            <w:tcBorders>
              <w:top w:val="nil"/>
              <w:left w:val="nil"/>
              <w:bottom w:val="nil"/>
              <w:right w:val="nil"/>
            </w:tcBorders>
            <w:shd w:val="clear" w:color="auto" w:fill="auto"/>
            <w:noWrap/>
            <w:vAlign w:val="bottom"/>
            <w:hideMark/>
          </w:tcPr>
          <w:p w14:paraId="6E79320C" w14:textId="77777777" w:rsidR="00024A56" w:rsidRPr="00024A56" w:rsidRDefault="2248451C" w:rsidP="2248451C">
            <w:pPr>
              <w:spacing w:before="120"/>
              <w:jc w:val="center"/>
              <w:rPr>
                <w:b/>
                <w:bCs/>
                <w:color w:val="000000" w:themeColor="text1"/>
                <w:sz w:val="20"/>
              </w:rPr>
            </w:pPr>
            <w:r w:rsidRPr="2248451C">
              <w:rPr>
                <w:b/>
                <w:bCs/>
                <w:color w:val="000000" w:themeColor="text1"/>
                <w:sz w:val="20"/>
              </w:rPr>
              <w:t>Jövedéki adó bevétel alakulása (milliárd forint)</w:t>
            </w:r>
          </w:p>
        </w:tc>
      </w:tr>
      <w:tr w:rsidR="00024A56" w:rsidRPr="00024A56" w14:paraId="34A1C44D" w14:textId="77777777" w:rsidTr="2248451C">
        <w:trPr>
          <w:trHeight w:val="450"/>
          <w:jc w:val="center"/>
        </w:trPr>
        <w:tc>
          <w:tcPr>
            <w:tcW w:w="3118" w:type="dxa"/>
            <w:vMerge w:val="restart"/>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5AFD96E8" w14:textId="77777777" w:rsidR="00024A56" w:rsidRPr="00024A56" w:rsidRDefault="2248451C" w:rsidP="2248451C">
            <w:pPr>
              <w:spacing w:after="0"/>
              <w:jc w:val="center"/>
              <w:rPr>
                <w:b/>
                <w:bCs/>
                <w:color w:val="000000" w:themeColor="text1"/>
                <w:sz w:val="20"/>
              </w:rPr>
            </w:pPr>
            <w:r w:rsidRPr="2248451C">
              <w:rPr>
                <w:b/>
                <w:bCs/>
                <w:color w:val="000000" w:themeColor="text1"/>
                <w:sz w:val="20"/>
              </w:rPr>
              <w:t>Megnevezés</w:t>
            </w:r>
          </w:p>
        </w:tc>
        <w:tc>
          <w:tcPr>
            <w:tcW w:w="993"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4D932975" w14:textId="0B7021BE" w:rsidR="00024A56" w:rsidRPr="00024A56" w:rsidRDefault="2248451C" w:rsidP="2248451C">
            <w:pPr>
              <w:spacing w:after="0"/>
              <w:jc w:val="center"/>
              <w:rPr>
                <w:b/>
                <w:bCs/>
                <w:sz w:val="20"/>
              </w:rPr>
            </w:pPr>
            <w:r w:rsidRPr="2248451C">
              <w:rPr>
                <w:b/>
                <w:bCs/>
                <w:sz w:val="20"/>
              </w:rPr>
              <w:t>2019.</w:t>
            </w:r>
            <w:r w:rsidR="6D01B43F">
              <w:br/>
            </w:r>
            <w:r w:rsidRPr="2248451C">
              <w:rPr>
                <w:b/>
                <w:bCs/>
                <w:sz w:val="20"/>
              </w:rPr>
              <w:t>I-VII. hó</w:t>
            </w:r>
          </w:p>
        </w:tc>
        <w:tc>
          <w:tcPr>
            <w:tcW w:w="992"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21AA4BEA" w14:textId="6DD5B2A7" w:rsidR="00024A56" w:rsidRPr="00024A56" w:rsidRDefault="2248451C" w:rsidP="2248451C">
            <w:pPr>
              <w:spacing w:after="0"/>
              <w:jc w:val="center"/>
              <w:rPr>
                <w:b/>
                <w:bCs/>
                <w:sz w:val="20"/>
              </w:rPr>
            </w:pPr>
            <w:r w:rsidRPr="2248451C">
              <w:rPr>
                <w:b/>
                <w:bCs/>
                <w:sz w:val="20"/>
              </w:rPr>
              <w:t>2020.</w:t>
            </w:r>
            <w:r w:rsidR="6D01B43F">
              <w:br/>
            </w:r>
            <w:r w:rsidRPr="2248451C">
              <w:rPr>
                <w:b/>
                <w:bCs/>
                <w:sz w:val="20"/>
              </w:rPr>
              <w:t>I-VII. hó</w:t>
            </w:r>
          </w:p>
        </w:tc>
        <w:tc>
          <w:tcPr>
            <w:tcW w:w="1576" w:type="dxa"/>
            <w:gridSpan w:val="2"/>
            <w:tcBorders>
              <w:top w:val="single" w:sz="8" w:space="0" w:color="auto"/>
              <w:left w:val="nil"/>
              <w:bottom w:val="single" w:sz="4" w:space="0" w:color="auto"/>
              <w:right w:val="single" w:sz="8" w:space="0" w:color="000000" w:themeColor="text1"/>
            </w:tcBorders>
            <w:shd w:val="clear" w:color="auto" w:fill="auto"/>
            <w:noWrap/>
            <w:vAlign w:val="center"/>
            <w:hideMark/>
          </w:tcPr>
          <w:p w14:paraId="1D2F24C1" w14:textId="77777777" w:rsidR="00024A56" w:rsidRPr="00024A56" w:rsidRDefault="2248451C" w:rsidP="2248451C">
            <w:pPr>
              <w:spacing w:after="0"/>
              <w:jc w:val="center"/>
              <w:rPr>
                <w:b/>
                <w:bCs/>
                <w:color w:val="000000" w:themeColor="text1"/>
                <w:sz w:val="20"/>
              </w:rPr>
            </w:pPr>
            <w:r w:rsidRPr="2248451C">
              <w:rPr>
                <w:b/>
                <w:bCs/>
                <w:color w:val="000000" w:themeColor="text1"/>
                <w:sz w:val="20"/>
              </w:rPr>
              <w:t>Eltérés</w:t>
            </w:r>
          </w:p>
        </w:tc>
      </w:tr>
      <w:tr w:rsidR="00024A56" w:rsidRPr="00024A56" w14:paraId="0A0EA470" w14:textId="77777777" w:rsidTr="2248451C">
        <w:trPr>
          <w:trHeight w:val="450"/>
          <w:jc w:val="center"/>
        </w:trPr>
        <w:tc>
          <w:tcPr>
            <w:tcW w:w="3118" w:type="dxa"/>
            <w:vMerge/>
            <w:tcBorders>
              <w:top w:val="single" w:sz="8" w:space="0" w:color="auto"/>
              <w:left w:val="single" w:sz="8" w:space="0" w:color="auto"/>
              <w:bottom w:val="single" w:sz="8" w:space="0" w:color="000000"/>
              <w:right w:val="single" w:sz="8" w:space="0" w:color="auto"/>
            </w:tcBorders>
            <w:vAlign w:val="center"/>
            <w:hideMark/>
          </w:tcPr>
          <w:p w14:paraId="3CF47CB0" w14:textId="77777777" w:rsidR="00024A56" w:rsidRPr="00024A56" w:rsidRDefault="00024A56" w:rsidP="00024A56">
            <w:pPr>
              <w:spacing w:after="0"/>
              <w:jc w:val="left"/>
              <w:rPr>
                <w:b/>
                <w:bCs/>
                <w:color w:val="000000"/>
                <w:sz w:val="20"/>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0A60470E" w14:textId="77777777" w:rsidR="00024A56" w:rsidRPr="00024A56" w:rsidRDefault="00024A56" w:rsidP="00024A56">
            <w:pPr>
              <w:spacing w:after="0"/>
              <w:jc w:val="left"/>
              <w:rPr>
                <w:b/>
                <w:bCs/>
                <w:sz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A9292C5" w14:textId="77777777" w:rsidR="00024A56" w:rsidRPr="00024A56" w:rsidRDefault="00024A56" w:rsidP="00024A56">
            <w:pPr>
              <w:spacing w:after="0"/>
              <w:jc w:val="left"/>
              <w:rPr>
                <w:b/>
                <w:bCs/>
                <w:sz w:val="20"/>
              </w:rPr>
            </w:pPr>
          </w:p>
        </w:tc>
        <w:tc>
          <w:tcPr>
            <w:tcW w:w="709" w:type="dxa"/>
            <w:tcBorders>
              <w:top w:val="nil"/>
              <w:left w:val="nil"/>
              <w:bottom w:val="single" w:sz="8" w:space="0" w:color="auto"/>
              <w:right w:val="single" w:sz="4" w:space="0" w:color="auto"/>
            </w:tcBorders>
            <w:shd w:val="clear" w:color="auto" w:fill="auto"/>
            <w:noWrap/>
            <w:vAlign w:val="center"/>
            <w:hideMark/>
          </w:tcPr>
          <w:p w14:paraId="54154943" w14:textId="77777777" w:rsidR="00024A56" w:rsidRPr="00024A56" w:rsidRDefault="2248451C" w:rsidP="2248451C">
            <w:pPr>
              <w:spacing w:after="0"/>
              <w:jc w:val="center"/>
              <w:rPr>
                <w:b/>
                <w:bCs/>
                <w:color w:val="000000" w:themeColor="text1"/>
                <w:sz w:val="20"/>
              </w:rPr>
            </w:pPr>
            <w:r w:rsidRPr="2248451C">
              <w:rPr>
                <w:b/>
                <w:bCs/>
                <w:color w:val="000000" w:themeColor="text1"/>
                <w:sz w:val="20"/>
              </w:rPr>
              <w:t>Mrd Ft</w:t>
            </w:r>
          </w:p>
        </w:tc>
        <w:tc>
          <w:tcPr>
            <w:tcW w:w="867" w:type="dxa"/>
            <w:tcBorders>
              <w:top w:val="nil"/>
              <w:left w:val="nil"/>
              <w:bottom w:val="single" w:sz="8" w:space="0" w:color="auto"/>
              <w:right w:val="single" w:sz="8" w:space="0" w:color="auto"/>
            </w:tcBorders>
            <w:shd w:val="clear" w:color="auto" w:fill="auto"/>
            <w:noWrap/>
            <w:vAlign w:val="center"/>
            <w:hideMark/>
          </w:tcPr>
          <w:p w14:paraId="4FA863EF" w14:textId="77777777" w:rsidR="00024A56" w:rsidRPr="00024A56" w:rsidRDefault="2248451C" w:rsidP="2248451C">
            <w:pPr>
              <w:spacing w:after="0"/>
              <w:jc w:val="center"/>
              <w:rPr>
                <w:b/>
                <w:bCs/>
                <w:color w:val="000000" w:themeColor="text1"/>
                <w:sz w:val="20"/>
              </w:rPr>
            </w:pPr>
            <w:r w:rsidRPr="2248451C">
              <w:rPr>
                <w:b/>
                <w:bCs/>
                <w:color w:val="000000" w:themeColor="text1"/>
                <w:sz w:val="20"/>
              </w:rPr>
              <w:t>%</w:t>
            </w:r>
          </w:p>
        </w:tc>
      </w:tr>
      <w:tr w:rsidR="003401B6" w:rsidRPr="00024A56" w14:paraId="508557F8" w14:textId="77777777" w:rsidTr="2248451C">
        <w:trPr>
          <w:trHeight w:val="270"/>
          <w:jc w:val="center"/>
        </w:trPr>
        <w:tc>
          <w:tcPr>
            <w:tcW w:w="3118" w:type="dxa"/>
            <w:tcBorders>
              <w:top w:val="nil"/>
              <w:left w:val="single" w:sz="8" w:space="0" w:color="auto"/>
              <w:bottom w:val="single" w:sz="4" w:space="0" w:color="auto"/>
              <w:right w:val="single" w:sz="8" w:space="0" w:color="auto"/>
            </w:tcBorders>
            <w:shd w:val="clear" w:color="auto" w:fill="auto"/>
            <w:noWrap/>
            <w:vAlign w:val="center"/>
            <w:hideMark/>
          </w:tcPr>
          <w:p w14:paraId="6EC723A4" w14:textId="50D0FBE1" w:rsidR="003401B6" w:rsidRPr="00024A56" w:rsidRDefault="2248451C" w:rsidP="2248451C">
            <w:pPr>
              <w:spacing w:after="0"/>
              <w:jc w:val="left"/>
              <w:rPr>
                <w:b/>
                <w:bCs/>
                <w:sz w:val="20"/>
              </w:rPr>
            </w:pPr>
            <w:r w:rsidRPr="2248451C">
              <w:rPr>
                <w:b/>
                <w:bCs/>
                <w:sz w:val="20"/>
              </w:rPr>
              <w:t>Üzemanyag jövedéki adó</w:t>
            </w:r>
          </w:p>
        </w:tc>
        <w:tc>
          <w:tcPr>
            <w:tcW w:w="993" w:type="dxa"/>
            <w:tcBorders>
              <w:top w:val="nil"/>
              <w:left w:val="nil"/>
              <w:bottom w:val="single" w:sz="4" w:space="0" w:color="auto"/>
              <w:right w:val="single" w:sz="8" w:space="0" w:color="auto"/>
            </w:tcBorders>
            <w:shd w:val="clear" w:color="auto" w:fill="auto"/>
            <w:noWrap/>
          </w:tcPr>
          <w:p w14:paraId="68AF4B4E" w14:textId="28981123" w:rsidR="003401B6" w:rsidRPr="003401B6" w:rsidRDefault="2248451C" w:rsidP="2248451C">
            <w:pPr>
              <w:spacing w:after="0"/>
              <w:jc w:val="center"/>
              <w:rPr>
                <w:sz w:val="20"/>
              </w:rPr>
            </w:pPr>
            <w:r w:rsidRPr="2248451C">
              <w:rPr>
                <w:sz w:val="20"/>
              </w:rPr>
              <w:t>377,2</w:t>
            </w:r>
          </w:p>
        </w:tc>
        <w:tc>
          <w:tcPr>
            <w:tcW w:w="992" w:type="dxa"/>
            <w:tcBorders>
              <w:top w:val="nil"/>
              <w:left w:val="nil"/>
              <w:bottom w:val="single" w:sz="4" w:space="0" w:color="auto"/>
              <w:right w:val="single" w:sz="8" w:space="0" w:color="auto"/>
            </w:tcBorders>
            <w:shd w:val="clear" w:color="auto" w:fill="auto"/>
            <w:noWrap/>
          </w:tcPr>
          <w:p w14:paraId="27E8CB93" w14:textId="6E466329" w:rsidR="003401B6" w:rsidRPr="003401B6" w:rsidRDefault="2248451C" w:rsidP="2248451C">
            <w:pPr>
              <w:spacing w:after="0"/>
              <w:jc w:val="center"/>
              <w:rPr>
                <w:sz w:val="20"/>
              </w:rPr>
            </w:pPr>
            <w:r w:rsidRPr="2248451C">
              <w:rPr>
                <w:sz w:val="20"/>
              </w:rPr>
              <w:t>357,7</w:t>
            </w:r>
          </w:p>
        </w:tc>
        <w:tc>
          <w:tcPr>
            <w:tcW w:w="709" w:type="dxa"/>
            <w:tcBorders>
              <w:top w:val="nil"/>
              <w:left w:val="nil"/>
              <w:bottom w:val="single" w:sz="4" w:space="0" w:color="auto"/>
              <w:right w:val="single" w:sz="4" w:space="0" w:color="auto"/>
            </w:tcBorders>
            <w:shd w:val="clear" w:color="auto" w:fill="auto"/>
            <w:noWrap/>
          </w:tcPr>
          <w:p w14:paraId="28D690E2" w14:textId="2D996DF9" w:rsidR="003401B6" w:rsidRPr="003401B6" w:rsidRDefault="2248451C" w:rsidP="2248451C">
            <w:pPr>
              <w:spacing w:after="0"/>
              <w:jc w:val="center"/>
              <w:rPr>
                <w:color w:val="000000" w:themeColor="text1"/>
                <w:sz w:val="20"/>
              </w:rPr>
            </w:pPr>
            <w:r w:rsidRPr="2248451C">
              <w:rPr>
                <w:sz w:val="20"/>
              </w:rPr>
              <w:t>-19,5</w:t>
            </w:r>
          </w:p>
        </w:tc>
        <w:tc>
          <w:tcPr>
            <w:tcW w:w="867" w:type="dxa"/>
            <w:tcBorders>
              <w:top w:val="nil"/>
              <w:left w:val="nil"/>
              <w:bottom w:val="single" w:sz="4" w:space="0" w:color="auto"/>
              <w:right w:val="single" w:sz="8" w:space="0" w:color="auto"/>
            </w:tcBorders>
            <w:shd w:val="clear" w:color="auto" w:fill="auto"/>
            <w:noWrap/>
          </w:tcPr>
          <w:p w14:paraId="4A80F6B5" w14:textId="546EACED" w:rsidR="003401B6" w:rsidRPr="003401B6" w:rsidRDefault="2248451C" w:rsidP="2248451C">
            <w:pPr>
              <w:spacing w:after="0"/>
              <w:jc w:val="center"/>
              <w:rPr>
                <w:sz w:val="20"/>
              </w:rPr>
            </w:pPr>
            <w:r w:rsidRPr="2248451C">
              <w:rPr>
                <w:sz w:val="20"/>
              </w:rPr>
              <w:t>94,8</w:t>
            </w:r>
          </w:p>
        </w:tc>
      </w:tr>
      <w:tr w:rsidR="003401B6" w:rsidRPr="00024A56" w14:paraId="57AD209F" w14:textId="77777777" w:rsidTr="2248451C">
        <w:trPr>
          <w:trHeight w:val="270"/>
          <w:jc w:val="center"/>
        </w:trPr>
        <w:tc>
          <w:tcPr>
            <w:tcW w:w="3118" w:type="dxa"/>
            <w:tcBorders>
              <w:top w:val="nil"/>
              <w:left w:val="single" w:sz="8" w:space="0" w:color="auto"/>
              <w:bottom w:val="single" w:sz="4" w:space="0" w:color="auto"/>
              <w:right w:val="single" w:sz="8" w:space="0" w:color="auto"/>
            </w:tcBorders>
            <w:shd w:val="clear" w:color="auto" w:fill="auto"/>
            <w:noWrap/>
            <w:vAlign w:val="center"/>
            <w:hideMark/>
          </w:tcPr>
          <w:p w14:paraId="268C933F" w14:textId="35F788F0" w:rsidR="003401B6" w:rsidRPr="00024A56" w:rsidRDefault="2248451C" w:rsidP="2248451C">
            <w:pPr>
              <w:spacing w:after="0"/>
              <w:jc w:val="left"/>
              <w:rPr>
                <w:b/>
                <w:bCs/>
                <w:sz w:val="20"/>
              </w:rPr>
            </w:pPr>
            <w:r w:rsidRPr="2248451C">
              <w:rPr>
                <w:b/>
                <w:bCs/>
                <w:sz w:val="20"/>
              </w:rPr>
              <w:t>Dohánygyártmány jövedéki adó</w:t>
            </w:r>
          </w:p>
        </w:tc>
        <w:tc>
          <w:tcPr>
            <w:tcW w:w="993" w:type="dxa"/>
            <w:tcBorders>
              <w:top w:val="nil"/>
              <w:left w:val="nil"/>
              <w:bottom w:val="single" w:sz="4" w:space="0" w:color="auto"/>
              <w:right w:val="single" w:sz="8" w:space="0" w:color="auto"/>
            </w:tcBorders>
            <w:shd w:val="clear" w:color="auto" w:fill="auto"/>
            <w:noWrap/>
          </w:tcPr>
          <w:p w14:paraId="79F99CAB" w14:textId="0079BAF2" w:rsidR="003401B6" w:rsidRPr="003401B6" w:rsidRDefault="2248451C" w:rsidP="2248451C">
            <w:pPr>
              <w:spacing w:after="0"/>
              <w:jc w:val="center"/>
              <w:rPr>
                <w:sz w:val="20"/>
              </w:rPr>
            </w:pPr>
            <w:r w:rsidRPr="2248451C">
              <w:rPr>
                <w:sz w:val="20"/>
              </w:rPr>
              <w:t>214,7</w:t>
            </w:r>
          </w:p>
        </w:tc>
        <w:tc>
          <w:tcPr>
            <w:tcW w:w="992" w:type="dxa"/>
            <w:tcBorders>
              <w:top w:val="nil"/>
              <w:left w:val="nil"/>
              <w:bottom w:val="single" w:sz="4" w:space="0" w:color="auto"/>
              <w:right w:val="single" w:sz="8" w:space="0" w:color="auto"/>
            </w:tcBorders>
            <w:shd w:val="clear" w:color="auto" w:fill="auto"/>
            <w:noWrap/>
          </w:tcPr>
          <w:p w14:paraId="77FC4294" w14:textId="445D9409" w:rsidR="003401B6" w:rsidRPr="003401B6" w:rsidRDefault="2248451C" w:rsidP="2248451C">
            <w:pPr>
              <w:spacing w:after="0"/>
              <w:jc w:val="center"/>
              <w:rPr>
                <w:sz w:val="20"/>
              </w:rPr>
            </w:pPr>
            <w:r w:rsidRPr="2248451C">
              <w:rPr>
                <w:sz w:val="20"/>
              </w:rPr>
              <w:t>232,3</w:t>
            </w:r>
          </w:p>
        </w:tc>
        <w:tc>
          <w:tcPr>
            <w:tcW w:w="709" w:type="dxa"/>
            <w:tcBorders>
              <w:top w:val="nil"/>
              <w:left w:val="nil"/>
              <w:bottom w:val="single" w:sz="4" w:space="0" w:color="auto"/>
              <w:right w:val="single" w:sz="4" w:space="0" w:color="auto"/>
            </w:tcBorders>
            <w:shd w:val="clear" w:color="auto" w:fill="auto"/>
            <w:noWrap/>
          </w:tcPr>
          <w:p w14:paraId="23932EB7" w14:textId="3B605525" w:rsidR="003401B6" w:rsidRPr="003401B6" w:rsidRDefault="2248451C" w:rsidP="2248451C">
            <w:pPr>
              <w:spacing w:after="0"/>
              <w:jc w:val="center"/>
              <w:rPr>
                <w:color w:val="000000" w:themeColor="text1"/>
                <w:sz w:val="20"/>
              </w:rPr>
            </w:pPr>
            <w:r w:rsidRPr="2248451C">
              <w:rPr>
                <w:sz w:val="20"/>
              </w:rPr>
              <w:t>17,6</w:t>
            </w:r>
          </w:p>
        </w:tc>
        <w:tc>
          <w:tcPr>
            <w:tcW w:w="867" w:type="dxa"/>
            <w:tcBorders>
              <w:top w:val="nil"/>
              <w:left w:val="nil"/>
              <w:bottom w:val="single" w:sz="4" w:space="0" w:color="auto"/>
              <w:right w:val="single" w:sz="8" w:space="0" w:color="auto"/>
            </w:tcBorders>
            <w:shd w:val="clear" w:color="auto" w:fill="auto"/>
            <w:noWrap/>
          </w:tcPr>
          <w:p w14:paraId="6073DB33" w14:textId="53C36E5B" w:rsidR="003401B6" w:rsidRPr="003401B6" w:rsidRDefault="2248451C" w:rsidP="2248451C">
            <w:pPr>
              <w:spacing w:after="0"/>
              <w:jc w:val="center"/>
              <w:rPr>
                <w:sz w:val="20"/>
              </w:rPr>
            </w:pPr>
            <w:r w:rsidRPr="2248451C">
              <w:rPr>
                <w:sz w:val="20"/>
              </w:rPr>
              <w:t>108,2</w:t>
            </w:r>
          </w:p>
        </w:tc>
      </w:tr>
      <w:tr w:rsidR="003401B6" w:rsidRPr="00024A56" w14:paraId="2E89E7E2" w14:textId="77777777" w:rsidTr="2248451C">
        <w:trPr>
          <w:trHeight w:val="270"/>
          <w:jc w:val="center"/>
        </w:trPr>
        <w:tc>
          <w:tcPr>
            <w:tcW w:w="3118" w:type="dxa"/>
            <w:tcBorders>
              <w:top w:val="nil"/>
              <w:left w:val="single" w:sz="8" w:space="0" w:color="auto"/>
              <w:bottom w:val="nil"/>
              <w:right w:val="single" w:sz="8" w:space="0" w:color="auto"/>
            </w:tcBorders>
            <w:shd w:val="clear" w:color="auto" w:fill="auto"/>
            <w:noWrap/>
            <w:vAlign w:val="center"/>
            <w:hideMark/>
          </w:tcPr>
          <w:p w14:paraId="27C95F96" w14:textId="79969345" w:rsidR="003401B6" w:rsidRPr="00024A56" w:rsidRDefault="2248451C" w:rsidP="2248451C">
            <w:pPr>
              <w:spacing w:after="0"/>
              <w:jc w:val="left"/>
              <w:rPr>
                <w:b/>
                <w:bCs/>
                <w:sz w:val="20"/>
              </w:rPr>
            </w:pPr>
            <w:r w:rsidRPr="2248451C">
              <w:rPr>
                <w:b/>
                <w:bCs/>
                <w:sz w:val="20"/>
              </w:rPr>
              <w:t>Egyéb termék jövedéki adó</w:t>
            </w:r>
          </w:p>
        </w:tc>
        <w:tc>
          <w:tcPr>
            <w:tcW w:w="993" w:type="dxa"/>
            <w:tcBorders>
              <w:top w:val="nil"/>
              <w:left w:val="nil"/>
              <w:bottom w:val="nil"/>
              <w:right w:val="single" w:sz="8" w:space="0" w:color="auto"/>
            </w:tcBorders>
            <w:shd w:val="clear" w:color="auto" w:fill="auto"/>
            <w:noWrap/>
          </w:tcPr>
          <w:p w14:paraId="7364BF93" w14:textId="7F6DC3C7" w:rsidR="003401B6" w:rsidRPr="003401B6" w:rsidRDefault="2248451C" w:rsidP="2248451C">
            <w:pPr>
              <w:spacing w:after="0"/>
              <w:jc w:val="center"/>
              <w:rPr>
                <w:sz w:val="20"/>
              </w:rPr>
            </w:pPr>
            <w:r w:rsidRPr="2248451C">
              <w:rPr>
                <w:sz w:val="20"/>
              </w:rPr>
              <w:t>52,3</w:t>
            </w:r>
          </w:p>
        </w:tc>
        <w:tc>
          <w:tcPr>
            <w:tcW w:w="992" w:type="dxa"/>
            <w:tcBorders>
              <w:top w:val="nil"/>
              <w:left w:val="nil"/>
              <w:bottom w:val="nil"/>
              <w:right w:val="single" w:sz="8" w:space="0" w:color="auto"/>
            </w:tcBorders>
            <w:shd w:val="clear" w:color="auto" w:fill="auto"/>
            <w:noWrap/>
          </w:tcPr>
          <w:p w14:paraId="7B16728B" w14:textId="667E1036" w:rsidR="003401B6" w:rsidRPr="003401B6" w:rsidRDefault="2248451C" w:rsidP="2248451C">
            <w:pPr>
              <w:spacing w:after="0"/>
              <w:jc w:val="center"/>
              <w:rPr>
                <w:sz w:val="20"/>
              </w:rPr>
            </w:pPr>
            <w:r w:rsidRPr="2248451C">
              <w:rPr>
                <w:sz w:val="20"/>
              </w:rPr>
              <w:t>48,0</w:t>
            </w:r>
          </w:p>
        </w:tc>
        <w:tc>
          <w:tcPr>
            <w:tcW w:w="709" w:type="dxa"/>
            <w:tcBorders>
              <w:top w:val="nil"/>
              <w:left w:val="nil"/>
              <w:bottom w:val="nil"/>
              <w:right w:val="single" w:sz="4" w:space="0" w:color="auto"/>
            </w:tcBorders>
            <w:shd w:val="clear" w:color="auto" w:fill="auto"/>
            <w:noWrap/>
          </w:tcPr>
          <w:p w14:paraId="27354059" w14:textId="0B8931CE" w:rsidR="003401B6" w:rsidRPr="003401B6" w:rsidRDefault="2248451C" w:rsidP="2248451C">
            <w:pPr>
              <w:spacing w:after="0"/>
              <w:jc w:val="center"/>
              <w:rPr>
                <w:color w:val="000000" w:themeColor="text1"/>
                <w:sz w:val="20"/>
              </w:rPr>
            </w:pPr>
            <w:r w:rsidRPr="2248451C">
              <w:rPr>
                <w:sz w:val="20"/>
              </w:rPr>
              <w:t>-4,3</w:t>
            </w:r>
          </w:p>
        </w:tc>
        <w:tc>
          <w:tcPr>
            <w:tcW w:w="867" w:type="dxa"/>
            <w:tcBorders>
              <w:top w:val="nil"/>
              <w:left w:val="nil"/>
              <w:bottom w:val="nil"/>
              <w:right w:val="single" w:sz="8" w:space="0" w:color="auto"/>
            </w:tcBorders>
            <w:shd w:val="clear" w:color="auto" w:fill="auto"/>
            <w:noWrap/>
          </w:tcPr>
          <w:p w14:paraId="40F267EE" w14:textId="4BE534F1" w:rsidR="003401B6" w:rsidRPr="003401B6" w:rsidRDefault="2248451C" w:rsidP="00F72C07">
            <w:pPr>
              <w:spacing w:after="0"/>
              <w:jc w:val="center"/>
              <w:rPr>
                <w:sz w:val="20"/>
              </w:rPr>
            </w:pPr>
            <w:r w:rsidRPr="2248451C">
              <w:rPr>
                <w:sz w:val="20"/>
              </w:rPr>
              <w:t>91,</w:t>
            </w:r>
            <w:r w:rsidR="00F72C07">
              <w:rPr>
                <w:sz w:val="20"/>
              </w:rPr>
              <w:t>8</w:t>
            </w:r>
          </w:p>
        </w:tc>
      </w:tr>
      <w:tr w:rsidR="003401B6" w:rsidRPr="00024A56" w14:paraId="664D47E1" w14:textId="77777777" w:rsidTr="2248451C">
        <w:trPr>
          <w:trHeight w:val="270"/>
          <w:jc w:val="center"/>
        </w:trPr>
        <w:tc>
          <w:tcPr>
            <w:tcW w:w="3118" w:type="dxa"/>
            <w:tcBorders>
              <w:top w:val="single" w:sz="4" w:space="0" w:color="auto"/>
              <w:left w:val="single" w:sz="8" w:space="0" w:color="auto"/>
              <w:bottom w:val="nil"/>
              <w:right w:val="single" w:sz="8" w:space="0" w:color="auto"/>
            </w:tcBorders>
            <w:shd w:val="clear" w:color="auto" w:fill="auto"/>
            <w:noWrap/>
            <w:vAlign w:val="center"/>
            <w:hideMark/>
          </w:tcPr>
          <w:p w14:paraId="7B919B72" w14:textId="7F22971B" w:rsidR="003401B6" w:rsidRPr="00024A56" w:rsidRDefault="2248451C" w:rsidP="2248451C">
            <w:pPr>
              <w:spacing w:after="0"/>
              <w:jc w:val="left"/>
              <w:rPr>
                <w:b/>
                <w:bCs/>
                <w:sz w:val="20"/>
              </w:rPr>
            </w:pPr>
            <w:r w:rsidRPr="2248451C">
              <w:rPr>
                <w:b/>
                <w:bCs/>
                <w:sz w:val="20"/>
              </w:rPr>
              <w:t>Import jövedéki adó és energiaadó</w:t>
            </w:r>
          </w:p>
        </w:tc>
        <w:tc>
          <w:tcPr>
            <w:tcW w:w="993" w:type="dxa"/>
            <w:tcBorders>
              <w:top w:val="single" w:sz="4" w:space="0" w:color="auto"/>
              <w:left w:val="nil"/>
              <w:bottom w:val="nil"/>
              <w:right w:val="single" w:sz="8" w:space="0" w:color="auto"/>
            </w:tcBorders>
            <w:shd w:val="clear" w:color="auto" w:fill="auto"/>
            <w:noWrap/>
          </w:tcPr>
          <w:p w14:paraId="1C055628" w14:textId="4F985A89" w:rsidR="003401B6" w:rsidRPr="003401B6" w:rsidRDefault="2248451C" w:rsidP="2248451C">
            <w:pPr>
              <w:spacing w:after="0"/>
              <w:jc w:val="center"/>
              <w:rPr>
                <w:sz w:val="20"/>
              </w:rPr>
            </w:pPr>
            <w:r w:rsidRPr="2248451C">
              <w:rPr>
                <w:sz w:val="20"/>
              </w:rPr>
              <w:t>11,8</w:t>
            </w:r>
          </w:p>
        </w:tc>
        <w:tc>
          <w:tcPr>
            <w:tcW w:w="992" w:type="dxa"/>
            <w:tcBorders>
              <w:top w:val="single" w:sz="4" w:space="0" w:color="auto"/>
              <w:left w:val="nil"/>
              <w:bottom w:val="nil"/>
              <w:right w:val="single" w:sz="8" w:space="0" w:color="auto"/>
            </w:tcBorders>
            <w:shd w:val="clear" w:color="auto" w:fill="auto"/>
            <w:noWrap/>
          </w:tcPr>
          <w:p w14:paraId="13C70C2F" w14:textId="0A4DB2C0" w:rsidR="003401B6" w:rsidRPr="003401B6" w:rsidRDefault="2248451C" w:rsidP="2248451C">
            <w:pPr>
              <w:spacing w:after="0"/>
              <w:jc w:val="center"/>
              <w:rPr>
                <w:sz w:val="20"/>
              </w:rPr>
            </w:pPr>
            <w:r w:rsidRPr="2248451C">
              <w:rPr>
                <w:sz w:val="20"/>
              </w:rPr>
              <w:t>12,1</w:t>
            </w:r>
          </w:p>
        </w:tc>
        <w:tc>
          <w:tcPr>
            <w:tcW w:w="709" w:type="dxa"/>
            <w:tcBorders>
              <w:top w:val="single" w:sz="4" w:space="0" w:color="auto"/>
              <w:left w:val="nil"/>
              <w:bottom w:val="nil"/>
              <w:right w:val="single" w:sz="4" w:space="0" w:color="auto"/>
            </w:tcBorders>
            <w:shd w:val="clear" w:color="auto" w:fill="auto"/>
            <w:noWrap/>
          </w:tcPr>
          <w:p w14:paraId="562B1DC5" w14:textId="5D00A529" w:rsidR="003401B6" w:rsidRPr="003401B6" w:rsidRDefault="2248451C" w:rsidP="001D5777">
            <w:pPr>
              <w:spacing w:after="0"/>
              <w:jc w:val="center"/>
              <w:rPr>
                <w:color w:val="000000" w:themeColor="text1"/>
                <w:sz w:val="20"/>
              </w:rPr>
            </w:pPr>
            <w:r w:rsidRPr="2248451C">
              <w:rPr>
                <w:sz w:val="20"/>
              </w:rPr>
              <w:t>0,</w:t>
            </w:r>
            <w:r w:rsidR="001D5777">
              <w:rPr>
                <w:sz w:val="20"/>
              </w:rPr>
              <w:t>3</w:t>
            </w:r>
          </w:p>
        </w:tc>
        <w:tc>
          <w:tcPr>
            <w:tcW w:w="867" w:type="dxa"/>
            <w:tcBorders>
              <w:top w:val="single" w:sz="4" w:space="0" w:color="auto"/>
              <w:left w:val="nil"/>
              <w:bottom w:val="nil"/>
              <w:right w:val="single" w:sz="8" w:space="0" w:color="auto"/>
            </w:tcBorders>
            <w:shd w:val="clear" w:color="auto" w:fill="auto"/>
            <w:noWrap/>
          </w:tcPr>
          <w:p w14:paraId="4F21FF55" w14:textId="2A67F424" w:rsidR="003401B6" w:rsidRPr="003401B6" w:rsidRDefault="003E4F7E" w:rsidP="2248451C">
            <w:pPr>
              <w:spacing w:after="0"/>
              <w:jc w:val="center"/>
              <w:rPr>
                <w:sz w:val="20"/>
              </w:rPr>
            </w:pPr>
            <w:r>
              <w:rPr>
                <w:sz w:val="20"/>
              </w:rPr>
              <w:t>102,5</w:t>
            </w:r>
          </w:p>
        </w:tc>
      </w:tr>
      <w:tr w:rsidR="003401B6" w:rsidRPr="000C321A" w14:paraId="65DFBFEE" w14:textId="77777777" w:rsidTr="2248451C">
        <w:trPr>
          <w:trHeight w:val="270"/>
          <w:jc w:val="center"/>
        </w:trPr>
        <w:tc>
          <w:tcPr>
            <w:tcW w:w="31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AB3BD6" w14:textId="528B438B" w:rsidR="003401B6" w:rsidRPr="00024A56" w:rsidRDefault="2248451C" w:rsidP="2248451C">
            <w:pPr>
              <w:spacing w:after="0"/>
              <w:jc w:val="left"/>
              <w:rPr>
                <w:b/>
                <w:bCs/>
                <w:sz w:val="20"/>
              </w:rPr>
            </w:pPr>
            <w:r w:rsidRPr="2248451C">
              <w:rPr>
                <w:b/>
                <w:bCs/>
                <w:sz w:val="20"/>
              </w:rPr>
              <w:t>Jövedéki adók összesen</w:t>
            </w:r>
          </w:p>
        </w:tc>
        <w:tc>
          <w:tcPr>
            <w:tcW w:w="993" w:type="dxa"/>
            <w:tcBorders>
              <w:top w:val="single" w:sz="8" w:space="0" w:color="auto"/>
              <w:left w:val="nil"/>
              <w:bottom w:val="single" w:sz="8" w:space="0" w:color="auto"/>
              <w:right w:val="single" w:sz="8" w:space="0" w:color="auto"/>
            </w:tcBorders>
            <w:shd w:val="clear" w:color="auto" w:fill="auto"/>
            <w:noWrap/>
          </w:tcPr>
          <w:p w14:paraId="312362D3" w14:textId="6F29B44E" w:rsidR="003401B6" w:rsidRPr="003401B6" w:rsidRDefault="2248451C" w:rsidP="2248451C">
            <w:pPr>
              <w:spacing w:after="0"/>
              <w:jc w:val="center"/>
              <w:rPr>
                <w:b/>
                <w:bCs/>
                <w:sz w:val="20"/>
              </w:rPr>
            </w:pPr>
            <w:r w:rsidRPr="2248451C">
              <w:rPr>
                <w:b/>
                <w:bCs/>
                <w:sz w:val="20"/>
              </w:rPr>
              <w:t>656,0</w:t>
            </w:r>
          </w:p>
        </w:tc>
        <w:tc>
          <w:tcPr>
            <w:tcW w:w="992" w:type="dxa"/>
            <w:tcBorders>
              <w:top w:val="single" w:sz="8" w:space="0" w:color="auto"/>
              <w:left w:val="nil"/>
              <w:bottom w:val="single" w:sz="8" w:space="0" w:color="auto"/>
              <w:right w:val="single" w:sz="8" w:space="0" w:color="auto"/>
            </w:tcBorders>
            <w:shd w:val="clear" w:color="auto" w:fill="auto"/>
            <w:noWrap/>
          </w:tcPr>
          <w:p w14:paraId="35930993" w14:textId="76FEF05D" w:rsidR="003401B6" w:rsidRPr="003401B6" w:rsidRDefault="2248451C" w:rsidP="2248451C">
            <w:pPr>
              <w:spacing w:after="0"/>
              <w:jc w:val="center"/>
              <w:rPr>
                <w:b/>
                <w:bCs/>
                <w:sz w:val="20"/>
              </w:rPr>
            </w:pPr>
            <w:r w:rsidRPr="2248451C">
              <w:rPr>
                <w:b/>
                <w:bCs/>
                <w:sz w:val="20"/>
              </w:rPr>
              <w:t>650,1</w:t>
            </w:r>
          </w:p>
        </w:tc>
        <w:tc>
          <w:tcPr>
            <w:tcW w:w="709" w:type="dxa"/>
            <w:tcBorders>
              <w:top w:val="single" w:sz="8" w:space="0" w:color="auto"/>
              <w:left w:val="nil"/>
              <w:bottom w:val="single" w:sz="8" w:space="0" w:color="auto"/>
              <w:right w:val="single" w:sz="4" w:space="0" w:color="auto"/>
            </w:tcBorders>
            <w:shd w:val="clear" w:color="auto" w:fill="auto"/>
            <w:noWrap/>
          </w:tcPr>
          <w:p w14:paraId="64E32CD5" w14:textId="29851696" w:rsidR="003401B6" w:rsidRPr="003401B6" w:rsidRDefault="2248451C" w:rsidP="2248451C">
            <w:pPr>
              <w:spacing w:after="0"/>
              <w:jc w:val="center"/>
              <w:rPr>
                <w:b/>
                <w:bCs/>
                <w:sz w:val="20"/>
              </w:rPr>
            </w:pPr>
            <w:r w:rsidRPr="2248451C">
              <w:rPr>
                <w:b/>
                <w:bCs/>
                <w:sz w:val="20"/>
              </w:rPr>
              <w:t>-5,9</w:t>
            </w:r>
          </w:p>
        </w:tc>
        <w:tc>
          <w:tcPr>
            <w:tcW w:w="867" w:type="dxa"/>
            <w:tcBorders>
              <w:top w:val="single" w:sz="8" w:space="0" w:color="auto"/>
              <w:left w:val="nil"/>
              <w:bottom w:val="single" w:sz="8" w:space="0" w:color="auto"/>
              <w:right w:val="single" w:sz="8" w:space="0" w:color="auto"/>
            </w:tcBorders>
            <w:shd w:val="clear" w:color="auto" w:fill="auto"/>
            <w:noWrap/>
          </w:tcPr>
          <w:p w14:paraId="7A3BDED0" w14:textId="77BF1418" w:rsidR="003401B6" w:rsidRPr="003401B6" w:rsidRDefault="2248451C" w:rsidP="2248451C">
            <w:pPr>
              <w:spacing w:after="0"/>
              <w:jc w:val="center"/>
              <w:rPr>
                <w:b/>
                <w:bCs/>
                <w:sz w:val="20"/>
              </w:rPr>
            </w:pPr>
            <w:r w:rsidRPr="2248451C">
              <w:rPr>
                <w:b/>
                <w:bCs/>
                <w:sz w:val="20"/>
              </w:rPr>
              <w:t>99,1</w:t>
            </w:r>
          </w:p>
        </w:tc>
      </w:tr>
    </w:tbl>
    <w:p w14:paraId="10743248" w14:textId="77777777" w:rsidR="001E4959" w:rsidRDefault="001E4959" w:rsidP="00F9316E">
      <w:pPr>
        <w:spacing w:after="0" w:line="259" w:lineRule="auto"/>
      </w:pPr>
    </w:p>
    <w:p w14:paraId="4FF6FA27" w14:textId="134BDC09" w:rsidR="0072669E" w:rsidRPr="00055D3F" w:rsidRDefault="00A2162D" w:rsidP="2248451C">
      <w:pPr>
        <w:spacing w:before="240"/>
        <w:rPr>
          <w:b/>
          <w:bCs/>
        </w:rPr>
      </w:pPr>
      <w:r>
        <w:t>Az üzemanyagok utáni bevétel csökkenését elsősorban az alacsonyabb üzemanyag</w:t>
      </w:r>
      <w:r w:rsidR="00162FF4">
        <w:t>-</w:t>
      </w:r>
      <w:r>
        <w:t xml:space="preserve">forgalom indokolja. </w:t>
      </w:r>
      <w:r w:rsidR="2248451C">
        <w:t>A dohánytermékek utáni bevételek emelkedésének hátterében elsősorban az adómérték</w:t>
      </w:r>
      <w:r w:rsidR="00B35E51">
        <w:t>-</w:t>
      </w:r>
      <w:r w:rsidR="2248451C">
        <w:t>emelés áll. A</w:t>
      </w:r>
      <w:r w:rsidR="00D70B0D">
        <w:t>z</w:t>
      </w:r>
      <w:r w:rsidR="2248451C">
        <w:t xml:space="preserve"> egyéb termékek esetében a bevételek csökkenésének hátterében a népegészségügyi termékadót érintő</w:t>
      </w:r>
      <w:r w:rsidR="008C6E03">
        <w:t>,</w:t>
      </w:r>
      <w:r w:rsidR="2248451C">
        <w:t xml:space="preserve"> 2019-től életbe lépő változásokhoz köthető készletezési hatás áll. A 2019. január 1-jétől szintén a jövedéki </w:t>
      </w:r>
      <w:r w:rsidR="2248451C">
        <w:lastRenderedPageBreak/>
        <w:t>adó soron szereplő energiaadó</w:t>
      </w:r>
      <w:r w:rsidR="00131E55">
        <w:t>-</w:t>
      </w:r>
      <w:r w:rsidR="2248451C">
        <w:t xml:space="preserve">bevételek növekedésének </w:t>
      </w:r>
      <w:r w:rsidR="00FA00AD">
        <w:t xml:space="preserve">oka </w:t>
      </w:r>
      <w:r w:rsidR="2248451C">
        <w:t>a magasabb energiafelhasználás</w:t>
      </w:r>
      <w:r w:rsidR="00FA00AD">
        <w:t>.</w:t>
      </w:r>
      <w:r w:rsidR="2248451C">
        <w:t xml:space="preserve"> </w:t>
      </w:r>
    </w:p>
    <w:p w14:paraId="63D96AEE" w14:textId="7693C241" w:rsidR="007B272A" w:rsidRPr="007B272A" w:rsidRDefault="2248451C" w:rsidP="007B272A">
      <w:r>
        <w:t xml:space="preserve">A </w:t>
      </w:r>
      <w:r w:rsidRPr="2248451C">
        <w:rPr>
          <w:b/>
          <w:bCs/>
        </w:rPr>
        <w:t>személyi jövedelemadó</w:t>
      </w:r>
      <w:r>
        <w:t xml:space="preserve"> államháztartási szintű bevétele az év első hét hónapjában 1437,1</w:t>
      </w:r>
      <w:r w:rsidR="0010441F">
        <w:t> </w:t>
      </w:r>
      <w:r>
        <w:t>milliárd forint volt, amely 60,3</w:t>
      </w:r>
      <w:r w:rsidR="0010441F">
        <w:t> </w:t>
      </w:r>
      <w:r>
        <w:t>milliárd forinttal magasabb a bázisidőszakban befolyt összegnél. Az eltérés oka a magasabb bérkiáramlás miatti befizetésnövekedés. A koronavírus</w:t>
      </w:r>
      <w:r w:rsidR="00B57043">
        <w:t>-</w:t>
      </w:r>
      <w:r>
        <w:t xml:space="preserve">járvány negatív gazdasági hatásai </w:t>
      </w:r>
      <w:r w:rsidR="00261118">
        <w:t xml:space="preserve">azonban </w:t>
      </w:r>
      <w:r>
        <w:t>már negyedik hónapja jelentkeznek a pénzforgalmi adatokban.</w:t>
      </w:r>
    </w:p>
    <w:tbl>
      <w:tblPr>
        <w:tblW w:w="5620" w:type="dxa"/>
        <w:jc w:val="center"/>
        <w:tblCellMar>
          <w:left w:w="70" w:type="dxa"/>
          <w:right w:w="70" w:type="dxa"/>
        </w:tblCellMar>
        <w:tblLook w:val="04A0" w:firstRow="1" w:lastRow="0" w:firstColumn="1" w:lastColumn="0" w:noHBand="0" w:noVBand="1"/>
      </w:tblPr>
      <w:tblGrid>
        <w:gridCol w:w="1434"/>
        <w:gridCol w:w="1274"/>
        <w:gridCol w:w="1274"/>
        <w:gridCol w:w="947"/>
        <w:gridCol w:w="691"/>
      </w:tblGrid>
      <w:tr w:rsidR="003F1341" w:rsidRPr="003F1341" w14:paraId="5DA149F4" w14:textId="77777777" w:rsidTr="2248451C">
        <w:trPr>
          <w:trHeight w:val="270"/>
          <w:jc w:val="center"/>
        </w:trPr>
        <w:tc>
          <w:tcPr>
            <w:tcW w:w="5620" w:type="dxa"/>
            <w:gridSpan w:val="5"/>
            <w:tcBorders>
              <w:top w:val="nil"/>
              <w:left w:val="nil"/>
              <w:bottom w:val="nil"/>
              <w:right w:val="nil"/>
            </w:tcBorders>
            <w:shd w:val="clear" w:color="auto" w:fill="auto"/>
            <w:noWrap/>
            <w:vAlign w:val="bottom"/>
            <w:hideMark/>
          </w:tcPr>
          <w:p w14:paraId="3701DDA8" w14:textId="77777777" w:rsidR="003F1341" w:rsidRPr="003F1341" w:rsidRDefault="2248451C" w:rsidP="2248451C">
            <w:pPr>
              <w:spacing w:before="120"/>
              <w:jc w:val="center"/>
              <w:rPr>
                <w:b/>
                <w:bCs/>
                <w:color w:val="000000" w:themeColor="text1"/>
                <w:sz w:val="20"/>
              </w:rPr>
            </w:pPr>
            <w:r w:rsidRPr="2248451C">
              <w:rPr>
                <w:b/>
                <w:bCs/>
                <w:color w:val="000000" w:themeColor="text1"/>
                <w:sz w:val="20"/>
              </w:rPr>
              <w:t>Személyi jövedelemadó bevétel alakulása (milliárd forint)</w:t>
            </w:r>
          </w:p>
        </w:tc>
      </w:tr>
      <w:tr w:rsidR="003F1341" w:rsidRPr="003F1341" w14:paraId="28FCE067" w14:textId="77777777" w:rsidTr="2248451C">
        <w:trPr>
          <w:trHeight w:val="450"/>
          <w:jc w:val="center"/>
        </w:trPr>
        <w:tc>
          <w:tcPr>
            <w:tcW w:w="1434" w:type="dxa"/>
            <w:vMerge w:val="restart"/>
            <w:tcBorders>
              <w:top w:val="single" w:sz="8" w:space="0" w:color="auto"/>
              <w:left w:val="single" w:sz="8" w:space="0" w:color="auto"/>
              <w:bottom w:val="single" w:sz="8" w:space="0" w:color="000000" w:themeColor="text1"/>
              <w:right w:val="single" w:sz="8" w:space="0" w:color="auto"/>
            </w:tcBorders>
            <w:shd w:val="clear" w:color="auto" w:fill="auto"/>
            <w:noWrap/>
            <w:vAlign w:val="center"/>
            <w:hideMark/>
          </w:tcPr>
          <w:p w14:paraId="665D9E31" w14:textId="77777777" w:rsidR="003F1341" w:rsidRPr="003F1341" w:rsidRDefault="2248451C" w:rsidP="2248451C">
            <w:pPr>
              <w:spacing w:after="0"/>
              <w:jc w:val="center"/>
              <w:rPr>
                <w:b/>
                <w:bCs/>
                <w:color w:val="000000" w:themeColor="text1"/>
                <w:sz w:val="20"/>
              </w:rPr>
            </w:pPr>
            <w:r w:rsidRPr="2248451C">
              <w:rPr>
                <w:b/>
                <w:bCs/>
                <w:color w:val="000000" w:themeColor="text1"/>
                <w:sz w:val="20"/>
              </w:rPr>
              <w:t>Megnevezés</w:t>
            </w:r>
          </w:p>
        </w:tc>
        <w:tc>
          <w:tcPr>
            <w:tcW w:w="1274"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308A9D09" w14:textId="2F3A21CA" w:rsidR="003F1341" w:rsidRPr="003F1341" w:rsidRDefault="2248451C" w:rsidP="2248451C">
            <w:pPr>
              <w:spacing w:after="0"/>
              <w:jc w:val="center"/>
              <w:rPr>
                <w:b/>
                <w:bCs/>
                <w:sz w:val="20"/>
              </w:rPr>
            </w:pPr>
            <w:r w:rsidRPr="2248451C">
              <w:rPr>
                <w:b/>
                <w:bCs/>
                <w:sz w:val="20"/>
              </w:rPr>
              <w:t>2019.</w:t>
            </w:r>
            <w:r w:rsidR="6D01B43F">
              <w:br/>
            </w:r>
            <w:r w:rsidRPr="2248451C">
              <w:rPr>
                <w:b/>
                <w:bCs/>
                <w:sz w:val="20"/>
              </w:rPr>
              <w:t>I-VII. hó</w:t>
            </w:r>
          </w:p>
        </w:tc>
        <w:tc>
          <w:tcPr>
            <w:tcW w:w="1274" w:type="dxa"/>
            <w:vMerge w:val="restart"/>
            <w:tcBorders>
              <w:top w:val="single" w:sz="8" w:space="0" w:color="auto"/>
              <w:left w:val="single" w:sz="8" w:space="0" w:color="auto"/>
              <w:bottom w:val="single" w:sz="8" w:space="0" w:color="000000" w:themeColor="text1"/>
              <w:right w:val="single" w:sz="8" w:space="0" w:color="auto"/>
            </w:tcBorders>
            <w:shd w:val="clear" w:color="auto" w:fill="auto"/>
            <w:vAlign w:val="center"/>
            <w:hideMark/>
          </w:tcPr>
          <w:p w14:paraId="50B736F0" w14:textId="76982449" w:rsidR="003F1341" w:rsidRPr="003F1341" w:rsidRDefault="2248451C" w:rsidP="2248451C">
            <w:pPr>
              <w:spacing w:after="0"/>
              <w:jc w:val="center"/>
              <w:rPr>
                <w:b/>
                <w:bCs/>
                <w:sz w:val="20"/>
              </w:rPr>
            </w:pPr>
            <w:r w:rsidRPr="2248451C">
              <w:rPr>
                <w:b/>
                <w:bCs/>
                <w:sz w:val="20"/>
              </w:rPr>
              <w:t>2020.</w:t>
            </w:r>
            <w:r w:rsidR="6D01B43F">
              <w:br/>
            </w:r>
            <w:r w:rsidRPr="2248451C">
              <w:rPr>
                <w:b/>
                <w:bCs/>
                <w:sz w:val="20"/>
              </w:rPr>
              <w:t>I-VII. hó</w:t>
            </w:r>
          </w:p>
        </w:tc>
        <w:tc>
          <w:tcPr>
            <w:tcW w:w="1638" w:type="dxa"/>
            <w:gridSpan w:val="2"/>
            <w:tcBorders>
              <w:top w:val="single" w:sz="8" w:space="0" w:color="auto"/>
              <w:left w:val="single" w:sz="4" w:space="0" w:color="auto"/>
              <w:bottom w:val="single" w:sz="4" w:space="0" w:color="auto"/>
              <w:right w:val="single" w:sz="8" w:space="0" w:color="000000" w:themeColor="text1"/>
            </w:tcBorders>
            <w:shd w:val="clear" w:color="auto" w:fill="auto"/>
            <w:noWrap/>
            <w:vAlign w:val="center"/>
            <w:hideMark/>
          </w:tcPr>
          <w:p w14:paraId="1FC378C5" w14:textId="77777777" w:rsidR="003F1341" w:rsidRPr="003F1341" w:rsidRDefault="2248451C" w:rsidP="2248451C">
            <w:pPr>
              <w:spacing w:after="0"/>
              <w:jc w:val="center"/>
              <w:rPr>
                <w:b/>
                <w:bCs/>
                <w:color w:val="000000" w:themeColor="text1"/>
                <w:sz w:val="20"/>
              </w:rPr>
            </w:pPr>
            <w:r w:rsidRPr="2248451C">
              <w:rPr>
                <w:b/>
                <w:bCs/>
                <w:color w:val="000000" w:themeColor="text1"/>
                <w:sz w:val="20"/>
              </w:rPr>
              <w:t>Eltérés</w:t>
            </w:r>
          </w:p>
        </w:tc>
      </w:tr>
      <w:tr w:rsidR="003F1341" w:rsidRPr="003F1341" w14:paraId="04B141FD" w14:textId="77777777" w:rsidTr="2248451C">
        <w:trPr>
          <w:trHeight w:val="690"/>
          <w:jc w:val="center"/>
        </w:trPr>
        <w:tc>
          <w:tcPr>
            <w:tcW w:w="1434" w:type="dxa"/>
            <w:vMerge/>
            <w:tcBorders>
              <w:top w:val="single" w:sz="8" w:space="0" w:color="auto"/>
              <w:left w:val="single" w:sz="8" w:space="0" w:color="auto"/>
              <w:bottom w:val="single" w:sz="8" w:space="0" w:color="000000"/>
              <w:right w:val="single" w:sz="8" w:space="0" w:color="auto"/>
            </w:tcBorders>
            <w:vAlign w:val="center"/>
            <w:hideMark/>
          </w:tcPr>
          <w:p w14:paraId="0839AA29" w14:textId="77777777" w:rsidR="003F1341" w:rsidRPr="003F1341" w:rsidRDefault="003F1341" w:rsidP="003F1341">
            <w:pPr>
              <w:spacing w:after="0"/>
              <w:jc w:val="left"/>
              <w:rPr>
                <w:b/>
                <w:bCs/>
                <w:color w:val="000000"/>
                <w:sz w:val="20"/>
              </w:rPr>
            </w:pPr>
          </w:p>
        </w:tc>
        <w:tc>
          <w:tcPr>
            <w:tcW w:w="1274" w:type="dxa"/>
            <w:vMerge/>
            <w:tcBorders>
              <w:top w:val="single" w:sz="8" w:space="0" w:color="auto"/>
              <w:left w:val="single" w:sz="8" w:space="0" w:color="auto"/>
              <w:bottom w:val="single" w:sz="8" w:space="0" w:color="000000"/>
              <w:right w:val="single" w:sz="8" w:space="0" w:color="auto"/>
            </w:tcBorders>
            <w:vAlign w:val="center"/>
            <w:hideMark/>
          </w:tcPr>
          <w:p w14:paraId="27419919" w14:textId="77777777" w:rsidR="003F1341" w:rsidRPr="003F1341" w:rsidRDefault="003F1341" w:rsidP="003F1341">
            <w:pPr>
              <w:spacing w:after="0"/>
              <w:jc w:val="left"/>
              <w:rPr>
                <w:b/>
                <w:bCs/>
                <w:sz w:val="20"/>
              </w:rPr>
            </w:pPr>
          </w:p>
        </w:tc>
        <w:tc>
          <w:tcPr>
            <w:tcW w:w="1274" w:type="dxa"/>
            <w:vMerge/>
            <w:tcBorders>
              <w:top w:val="single" w:sz="8" w:space="0" w:color="auto"/>
              <w:left w:val="single" w:sz="8" w:space="0" w:color="auto"/>
              <w:bottom w:val="single" w:sz="8" w:space="0" w:color="000000"/>
              <w:right w:val="single" w:sz="8" w:space="0" w:color="auto"/>
            </w:tcBorders>
            <w:vAlign w:val="center"/>
            <w:hideMark/>
          </w:tcPr>
          <w:p w14:paraId="1A9B2262" w14:textId="77777777" w:rsidR="003F1341" w:rsidRPr="003F1341" w:rsidRDefault="003F1341" w:rsidP="003F1341">
            <w:pPr>
              <w:spacing w:after="0"/>
              <w:jc w:val="left"/>
              <w:rPr>
                <w:b/>
                <w:bCs/>
                <w:sz w:val="20"/>
              </w:rPr>
            </w:pPr>
          </w:p>
        </w:tc>
        <w:tc>
          <w:tcPr>
            <w:tcW w:w="947" w:type="dxa"/>
            <w:tcBorders>
              <w:top w:val="nil"/>
              <w:left w:val="single" w:sz="4" w:space="0" w:color="auto"/>
              <w:bottom w:val="single" w:sz="8" w:space="0" w:color="auto"/>
              <w:right w:val="single" w:sz="4" w:space="0" w:color="auto"/>
            </w:tcBorders>
            <w:shd w:val="clear" w:color="auto" w:fill="auto"/>
            <w:noWrap/>
            <w:vAlign w:val="center"/>
            <w:hideMark/>
          </w:tcPr>
          <w:p w14:paraId="4C82DC52" w14:textId="77777777" w:rsidR="003F1341" w:rsidRPr="003F1341" w:rsidRDefault="2248451C" w:rsidP="2248451C">
            <w:pPr>
              <w:spacing w:after="0"/>
              <w:jc w:val="center"/>
              <w:rPr>
                <w:b/>
                <w:bCs/>
                <w:color w:val="000000" w:themeColor="text1"/>
                <w:sz w:val="20"/>
              </w:rPr>
            </w:pPr>
            <w:r w:rsidRPr="2248451C">
              <w:rPr>
                <w:b/>
                <w:bCs/>
                <w:color w:val="000000" w:themeColor="text1"/>
                <w:sz w:val="20"/>
              </w:rPr>
              <w:t>Mrd Ft</w:t>
            </w:r>
          </w:p>
        </w:tc>
        <w:tc>
          <w:tcPr>
            <w:tcW w:w="691" w:type="dxa"/>
            <w:tcBorders>
              <w:top w:val="nil"/>
              <w:left w:val="nil"/>
              <w:bottom w:val="single" w:sz="8" w:space="0" w:color="auto"/>
              <w:right w:val="single" w:sz="8" w:space="0" w:color="auto"/>
            </w:tcBorders>
            <w:shd w:val="clear" w:color="auto" w:fill="auto"/>
            <w:noWrap/>
            <w:vAlign w:val="center"/>
            <w:hideMark/>
          </w:tcPr>
          <w:p w14:paraId="534B2402" w14:textId="77777777" w:rsidR="003F1341" w:rsidRPr="003F1341" w:rsidRDefault="2248451C" w:rsidP="2248451C">
            <w:pPr>
              <w:spacing w:after="0"/>
              <w:jc w:val="center"/>
              <w:rPr>
                <w:b/>
                <w:bCs/>
                <w:color w:val="000000" w:themeColor="text1"/>
                <w:sz w:val="20"/>
              </w:rPr>
            </w:pPr>
            <w:r w:rsidRPr="2248451C">
              <w:rPr>
                <w:b/>
                <w:bCs/>
                <w:color w:val="000000" w:themeColor="text1"/>
                <w:sz w:val="20"/>
              </w:rPr>
              <w:t>%</w:t>
            </w:r>
          </w:p>
        </w:tc>
      </w:tr>
      <w:tr w:rsidR="007C5C11" w:rsidRPr="003F1341" w14:paraId="3312DFB3" w14:textId="77777777" w:rsidTr="2248451C">
        <w:trPr>
          <w:trHeight w:val="270"/>
          <w:jc w:val="center"/>
        </w:trPr>
        <w:tc>
          <w:tcPr>
            <w:tcW w:w="1434" w:type="dxa"/>
            <w:tcBorders>
              <w:top w:val="nil"/>
              <w:left w:val="single" w:sz="8" w:space="0" w:color="auto"/>
              <w:bottom w:val="single" w:sz="4" w:space="0" w:color="auto"/>
              <w:right w:val="single" w:sz="8" w:space="0" w:color="auto"/>
            </w:tcBorders>
            <w:shd w:val="clear" w:color="auto" w:fill="auto"/>
            <w:noWrap/>
            <w:vAlign w:val="center"/>
            <w:hideMark/>
          </w:tcPr>
          <w:p w14:paraId="1F3D318C" w14:textId="77777777" w:rsidR="007C5C11" w:rsidRPr="003F1341" w:rsidRDefault="2248451C" w:rsidP="2248451C">
            <w:pPr>
              <w:spacing w:after="0"/>
              <w:jc w:val="center"/>
              <w:rPr>
                <w:b/>
                <w:bCs/>
                <w:sz w:val="20"/>
              </w:rPr>
            </w:pPr>
            <w:r w:rsidRPr="2248451C">
              <w:rPr>
                <w:b/>
                <w:bCs/>
                <w:sz w:val="20"/>
              </w:rPr>
              <w:t>Befizetés</w:t>
            </w:r>
          </w:p>
        </w:tc>
        <w:tc>
          <w:tcPr>
            <w:tcW w:w="1274" w:type="dxa"/>
            <w:tcBorders>
              <w:top w:val="nil"/>
              <w:left w:val="nil"/>
              <w:bottom w:val="single" w:sz="4" w:space="0" w:color="auto"/>
              <w:right w:val="single" w:sz="8" w:space="0" w:color="auto"/>
            </w:tcBorders>
            <w:shd w:val="clear" w:color="auto" w:fill="auto"/>
            <w:noWrap/>
          </w:tcPr>
          <w:p w14:paraId="09A288E7" w14:textId="366F2A22" w:rsidR="007C5C11" w:rsidRPr="007C5C11" w:rsidRDefault="2248451C" w:rsidP="2248451C">
            <w:pPr>
              <w:spacing w:after="0"/>
              <w:jc w:val="right"/>
              <w:rPr>
                <w:sz w:val="22"/>
                <w:szCs w:val="22"/>
              </w:rPr>
            </w:pPr>
            <w:r w:rsidRPr="2248451C">
              <w:rPr>
                <w:sz w:val="22"/>
                <w:szCs w:val="22"/>
              </w:rPr>
              <w:t>1</w:t>
            </w:r>
            <w:r w:rsidR="00F94340">
              <w:rPr>
                <w:sz w:val="22"/>
                <w:szCs w:val="22"/>
              </w:rPr>
              <w:t xml:space="preserve"> </w:t>
            </w:r>
            <w:r w:rsidRPr="2248451C">
              <w:rPr>
                <w:sz w:val="22"/>
                <w:szCs w:val="22"/>
              </w:rPr>
              <w:t>501,4</w:t>
            </w:r>
          </w:p>
        </w:tc>
        <w:tc>
          <w:tcPr>
            <w:tcW w:w="1274" w:type="dxa"/>
            <w:tcBorders>
              <w:top w:val="nil"/>
              <w:left w:val="nil"/>
              <w:bottom w:val="single" w:sz="4" w:space="0" w:color="auto"/>
              <w:right w:val="nil"/>
            </w:tcBorders>
            <w:shd w:val="clear" w:color="auto" w:fill="auto"/>
            <w:noWrap/>
          </w:tcPr>
          <w:p w14:paraId="3B6AAC82" w14:textId="3EDAB877" w:rsidR="007C5C11" w:rsidRPr="007C5C11" w:rsidRDefault="2248451C" w:rsidP="2248451C">
            <w:pPr>
              <w:spacing w:after="0"/>
              <w:jc w:val="right"/>
              <w:rPr>
                <w:sz w:val="22"/>
                <w:szCs w:val="22"/>
              </w:rPr>
            </w:pPr>
            <w:r w:rsidRPr="2248451C">
              <w:rPr>
                <w:sz w:val="22"/>
                <w:szCs w:val="22"/>
              </w:rPr>
              <w:t>1</w:t>
            </w:r>
            <w:r w:rsidR="00F94340">
              <w:rPr>
                <w:sz w:val="22"/>
                <w:szCs w:val="22"/>
              </w:rPr>
              <w:t xml:space="preserve"> </w:t>
            </w:r>
            <w:r w:rsidRPr="2248451C">
              <w:rPr>
                <w:sz w:val="22"/>
                <w:szCs w:val="22"/>
              </w:rPr>
              <w:t>581,3</w:t>
            </w:r>
          </w:p>
        </w:tc>
        <w:tc>
          <w:tcPr>
            <w:tcW w:w="947" w:type="dxa"/>
            <w:tcBorders>
              <w:top w:val="nil"/>
              <w:left w:val="single" w:sz="8" w:space="0" w:color="auto"/>
              <w:bottom w:val="single" w:sz="4" w:space="0" w:color="auto"/>
              <w:right w:val="single" w:sz="4" w:space="0" w:color="auto"/>
            </w:tcBorders>
            <w:shd w:val="clear" w:color="auto" w:fill="auto"/>
            <w:noWrap/>
          </w:tcPr>
          <w:p w14:paraId="0668BF9C" w14:textId="171B33C3" w:rsidR="007C5C11" w:rsidRPr="007C5C11" w:rsidRDefault="2248451C" w:rsidP="2248451C">
            <w:pPr>
              <w:spacing w:after="0"/>
              <w:jc w:val="right"/>
              <w:rPr>
                <w:sz w:val="22"/>
                <w:szCs w:val="22"/>
              </w:rPr>
            </w:pPr>
            <w:r w:rsidRPr="2248451C">
              <w:rPr>
                <w:sz w:val="22"/>
                <w:szCs w:val="22"/>
              </w:rPr>
              <w:t>79,9</w:t>
            </w:r>
          </w:p>
        </w:tc>
        <w:tc>
          <w:tcPr>
            <w:tcW w:w="691" w:type="dxa"/>
            <w:tcBorders>
              <w:top w:val="nil"/>
              <w:left w:val="nil"/>
              <w:bottom w:val="single" w:sz="4" w:space="0" w:color="auto"/>
              <w:right w:val="single" w:sz="8" w:space="0" w:color="auto"/>
            </w:tcBorders>
            <w:shd w:val="clear" w:color="auto" w:fill="auto"/>
            <w:noWrap/>
          </w:tcPr>
          <w:p w14:paraId="7B8B88FA" w14:textId="7804A01B" w:rsidR="007C5C11" w:rsidRPr="007C5C11" w:rsidRDefault="2248451C" w:rsidP="2248451C">
            <w:pPr>
              <w:spacing w:after="0"/>
              <w:jc w:val="right"/>
              <w:rPr>
                <w:color w:val="000000" w:themeColor="text1"/>
                <w:sz w:val="22"/>
                <w:szCs w:val="22"/>
              </w:rPr>
            </w:pPr>
            <w:r w:rsidRPr="2248451C">
              <w:rPr>
                <w:sz w:val="22"/>
                <w:szCs w:val="22"/>
              </w:rPr>
              <w:t>105,3</w:t>
            </w:r>
          </w:p>
        </w:tc>
      </w:tr>
      <w:tr w:rsidR="007C5C11" w:rsidRPr="003F1341" w14:paraId="77B87138" w14:textId="77777777" w:rsidTr="2248451C">
        <w:trPr>
          <w:trHeight w:val="285"/>
          <w:jc w:val="center"/>
        </w:trPr>
        <w:tc>
          <w:tcPr>
            <w:tcW w:w="1434" w:type="dxa"/>
            <w:tcBorders>
              <w:top w:val="nil"/>
              <w:left w:val="single" w:sz="8" w:space="0" w:color="auto"/>
              <w:bottom w:val="single" w:sz="4" w:space="0" w:color="auto"/>
              <w:right w:val="single" w:sz="8" w:space="0" w:color="auto"/>
            </w:tcBorders>
            <w:shd w:val="clear" w:color="auto" w:fill="auto"/>
            <w:noWrap/>
            <w:vAlign w:val="center"/>
            <w:hideMark/>
          </w:tcPr>
          <w:p w14:paraId="761C99AF" w14:textId="77777777" w:rsidR="007C5C11" w:rsidRPr="003F1341" w:rsidRDefault="2248451C" w:rsidP="2248451C">
            <w:pPr>
              <w:spacing w:after="0"/>
              <w:jc w:val="center"/>
              <w:rPr>
                <w:b/>
                <w:bCs/>
                <w:sz w:val="20"/>
              </w:rPr>
            </w:pPr>
            <w:r w:rsidRPr="2248451C">
              <w:rPr>
                <w:b/>
                <w:bCs/>
                <w:sz w:val="20"/>
              </w:rPr>
              <w:t>Kiutalás</w:t>
            </w:r>
          </w:p>
        </w:tc>
        <w:tc>
          <w:tcPr>
            <w:tcW w:w="1274" w:type="dxa"/>
            <w:tcBorders>
              <w:top w:val="nil"/>
              <w:left w:val="nil"/>
              <w:bottom w:val="single" w:sz="4" w:space="0" w:color="auto"/>
              <w:right w:val="single" w:sz="8" w:space="0" w:color="auto"/>
            </w:tcBorders>
            <w:shd w:val="clear" w:color="auto" w:fill="auto"/>
            <w:noWrap/>
          </w:tcPr>
          <w:p w14:paraId="4240CF9A" w14:textId="79DD0E0B" w:rsidR="007C5C11" w:rsidRPr="007C5C11" w:rsidRDefault="2248451C" w:rsidP="2248451C">
            <w:pPr>
              <w:spacing w:after="0"/>
              <w:jc w:val="right"/>
              <w:rPr>
                <w:sz w:val="22"/>
                <w:szCs w:val="22"/>
              </w:rPr>
            </w:pPr>
            <w:r w:rsidRPr="2248451C">
              <w:rPr>
                <w:sz w:val="22"/>
                <w:szCs w:val="22"/>
              </w:rPr>
              <w:t>124,6</w:t>
            </w:r>
          </w:p>
        </w:tc>
        <w:tc>
          <w:tcPr>
            <w:tcW w:w="1274" w:type="dxa"/>
            <w:tcBorders>
              <w:top w:val="nil"/>
              <w:left w:val="nil"/>
              <w:bottom w:val="single" w:sz="4" w:space="0" w:color="auto"/>
              <w:right w:val="nil"/>
            </w:tcBorders>
            <w:shd w:val="clear" w:color="auto" w:fill="auto"/>
            <w:noWrap/>
          </w:tcPr>
          <w:p w14:paraId="4B69188B" w14:textId="6F07ECD2" w:rsidR="007C5C11" w:rsidRPr="007C5C11" w:rsidRDefault="2248451C" w:rsidP="2248451C">
            <w:pPr>
              <w:spacing w:after="0"/>
              <w:jc w:val="right"/>
              <w:rPr>
                <w:sz w:val="22"/>
                <w:szCs w:val="22"/>
              </w:rPr>
            </w:pPr>
            <w:r w:rsidRPr="2248451C">
              <w:rPr>
                <w:sz w:val="22"/>
                <w:szCs w:val="22"/>
              </w:rPr>
              <w:t>144,2</w:t>
            </w:r>
          </w:p>
        </w:tc>
        <w:tc>
          <w:tcPr>
            <w:tcW w:w="947" w:type="dxa"/>
            <w:tcBorders>
              <w:top w:val="nil"/>
              <w:left w:val="single" w:sz="8" w:space="0" w:color="auto"/>
              <w:bottom w:val="single" w:sz="4" w:space="0" w:color="auto"/>
              <w:right w:val="single" w:sz="4" w:space="0" w:color="auto"/>
            </w:tcBorders>
            <w:shd w:val="clear" w:color="auto" w:fill="auto"/>
            <w:noWrap/>
          </w:tcPr>
          <w:p w14:paraId="19DF5EEB" w14:textId="2ED9341B" w:rsidR="007C5C11" w:rsidRPr="007C5C11" w:rsidRDefault="2248451C" w:rsidP="2248451C">
            <w:pPr>
              <w:spacing w:after="0"/>
              <w:jc w:val="right"/>
              <w:rPr>
                <w:sz w:val="22"/>
                <w:szCs w:val="22"/>
              </w:rPr>
            </w:pPr>
            <w:r w:rsidRPr="2248451C">
              <w:rPr>
                <w:sz w:val="22"/>
                <w:szCs w:val="22"/>
              </w:rPr>
              <w:t>19,6</w:t>
            </w:r>
          </w:p>
        </w:tc>
        <w:tc>
          <w:tcPr>
            <w:tcW w:w="691" w:type="dxa"/>
            <w:tcBorders>
              <w:top w:val="nil"/>
              <w:left w:val="nil"/>
              <w:bottom w:val="single" w:sz="4" w:space="0" w:color="auto"/>
              <w:right w:val="single" w:sz="8" w:space="0" w:color="auto"/>
            </w:tcBorders>
            <w:shd w:val="clear" w:color="auto" w:fill="auto"/>
            <w:noWrap/>
          </w:tcPr>
          <w:p w14:paraId="29492FB8" w14:textId="5F0CFB51" w:rsidR="007C5C11" w:rsidRPr="007C5C11" w:rsidRDefault="2248451C" w:rsidP="2248451C">
            <w:pPr>
              <w:spacing w:after="0"/>
              <w:jc w:val="right"/>
              <w:rPr>
                <w:color w:val="000000" w:themeColor="text1"/>
                <w:sz w:val="22"/>
                <w:szCs w:val="22"/>
              </w:rPr>
            </w:pPr>
            <w:r w:rsidRPr="2248451C">
              <w:rPr>
                <w:sz w:val="22"/>
                <w:szCs w:val="22"/>
              </w:rPr>
              <w:t>115,7</w:t>
            </w:r>
          </w:p>
        </w:tc>
      </w:tr>
      <w:tr w:rsidR="007C5C11" w:rsidRPr="00474F3B" w14:paraId="4DC8FA19" w14:textId="77777777" w:rsidTr="2248451C">
        <w:trPr>
          <w:trHeight w:val="270"/>
          <w:jc w:val="center"/>
        </w:trPr>
        <w:tc>
          <w:tcPr>
            <w:tcW w:w="1434" w:type="dxa"/>
            <w:tcBorders>
              <w:top w:val="nil"/>
              <w:left w:val="single" w:sz="8" w:space="0" w:color="auto"/>
              <w:bottom w:val="single" w:sz="8" w:space="0" w:color="auto"/>
              <w:right w:val="single" w:sz="8" w:space="0" w:color="auto"/>
            </w:tcBorders>
            <w:shd w:val="clear" w:color="auto" w:fill="auto"/>
            <w:noWrap/>
            <w:vAlign w:val="center"/>
            <w:hideMark/>
          </w:tcPr>
          <w:p w14:paraId="79DC6734" w14:textId="3151CAE9" w:rsidR="007C5C11" w:rsidRPr="003F1341" w:rsidRDefault="2248451C" w:rsidP="2248451C">
            <w:pPr>
              <w:spacing w:after="0"/>
              <w:jc w:val="center"/>
              <w:rPr>
                <w:b/>
                <w:bCs/>
                <w:sz w:val="20"/>
              </w:rPr>
            </w:pPr>
            <w:r w:rsidRPr="2248451C">
              <w:rPr>
                <w:b/>
                <w:bCs/>
                <w:sz w:val="20"/>
              </w:rPr>
              <w:t>Egyenleg</w:t>
            </w:r>
          </w:p>
        </w:tc>
        <w:tc>
          <w:tcPr>
            <w:tcW w:w="1274" w:type="dxa"/>
            <w:tcBorders>
              <w:top w:val="nil"/>
              <w:left w:val="nil"/>
              <w:bottom w:val="single" w:sz="8" w:space="0" w:color="auto"/>
              <w:right w:val="single" w:sz="8" w:space="0" w:color="auto"/>
            </w:tcBorders>
            <w:shd w:val="clear" w:color="auto" w:fill="auto"/>
            <w:noWrap/>
          </w:tcPr>
          <w:p w14:paraId="17702B75" w14:textId="61B02DD2" w:rsidR="007C5C11" w:rsidRPr="007C5C11" w:rsidRDefault="2248451C" w:rsidP="2248451C">
            <w:pPr>
              <w:spacing w:after="0"/>
              <w:jc w:val="right"/>
              <w:rPr>
                <w:b/>
                <w:bCs/>
                <w:sz w:val="22"/>
                <w:szCs w:val="22"/>
              </w:rPr>
            </w:pPr>
            <w:r w:rsidRPr="2248451C">
              <w:rPr>
                <w:b/>
                <w:bCs/>
                <w:sz w:val="22"/>
                <w:szCs w:val="22"/>
              </w:rPr>
              <w:t>1</w:t>
            </w:r>
            <w:r w:rsidR="00F94340">
              <w:rPr>
                <w:b/>
                <w:bCs/>
                <w:sz w:val="22"/>
                <w:szCs w:val="22"/>
              </w:rPr>
              <w:t xml:space="preserve"> </w:t>
            </w:r>
            <w:r w:rsidRPr="2248451C">
              <w:rPr>
                <w:b/>
                <w:bCs/>
                <w:sz w:val="22"/>
                <w:szCs w:val="22"/>
              </w:rPr>
              <w:t>376,8</w:t>
            </w:r>
          </w:p>
        </w:tc>
        <w:tc>
          <w:tcPr>
            <w:tcW w:w="1274" w:type="dxa"/>
            <w:tcBorders>
              <w:top w:val="nil"/>
              <w:left w:val="nil"/>
              <w:bottom w:val="single" w:sz="8" w:space="0" w:color="auto"/>
              <w:right w:val="nil"/>
            </w:tcBorders>
            <w:shd w:val="clear" w:color="auto" w:fill="auto"/>
            <w:noWrap/>
          </w:tcPr>
          <w:p w14:paraId="453FDAD4" w14:textId="67E38BA3" w:rsidR="007C5C11" w:rsidRPr="007C5C11" w:rsidRDefault="2248451C" w:rsidP="2248451C">
            <w:pPr>
              <w:spacing w:after="0"/>
              <w:jc w:val="right"/>
              <w:rPr>
                <w:b/>
                <w:bCs/>
                <w:sz w:val="22"/>
                <w:szCs w:val="22"/>
              </w:rPr>
            </w:pPr>
            <w:r w:rsidRPr="2248451C">
              <w:rPr>
                <w:b/>
                <w:bCs/>
                <w:sz w:val="22"/>
                <w:szCs w:val="22"/>
              </w:rPr>
              <w:t>1</w:t>
            </w:r>
            <w:r w:rsidR="00F94340">
              <w:rPr>
                <w:b/>
                <w:bCs/>
                <w:sz w:val="22"/>
                <w:szCs w:val="22"/>
              </w:rPr>
              <w:t xml:space="preserve"> </w:t>
            </w:r>
            <w:r w:rsidRPr="2248451C">
              <w:rPr>
                <w:b/>
                <w:bCs/>
                <w:sz w:val="22"/>
                <w:szCs w:val="22"/>
              </w:rPr>
              <w:t>437,1</w:t>
            </w:r>
          </w:p>
        </w:tc>
        <w:tc>
          <w:tcPr>
            <w:tcW w:w="947" w:type="dxa"/>
            <w:tcBorders>
              <w:top w:val="nil"/>
              <w:left w:val="single" w:sz="8" w:space="0" w:color="auto"/>
              <w:bottom w:val="single" w:sz="8" w:space="0" w:color="auto"/>
              <w:right w:val="single" w:sz="4" w:space="0" w:color="auto"/>
            </w:tcBorders>
            <w:shd w:val="clear" w:color="auto" w:fill="auto"/>
            <w:noWrap/>
          </w:tcPr>
          <w:p w14:paraId="3DBAE11D" w14:textId="1C7622A2" w:rsidR="007C5C11" w:rsidRPr="007C5C11" w:rsidRDefault="2248451C" w:rsidP="2248451C">
            <w:pPr>
              <w:spacing w:after="0"/>
              <w:jc w:val="right"/>
              <w:rPr>
                <w:b/>
                <w:bCs/>
                <w:sz w:val="22"/>
                <w:szCs w:val="22"/>
              </w:rPr>
            </w:pPr>
            <w:r w:rsidRPr="2248451C">
              <w:rPr>
                <w:b/>
                <w:bCs/>
                <w:sz w:val="22"/>
                <w:szCs w:val="22"/>
              </w:rPr>
              <w:t>60,3</w:t>
            </w:r>
          </w:p>
        </w:tc>
        <w:tc>
          <w:tcPr>
            <w:tcW w:w="691" w:type="dxa"/>
            <w:tcBorders>
              <w:top w:val="nil"/>
              <w:left w:val="nil"/>
              <w:bottom w:val="single" w:sz="8" w:space="0" w:color="auto"/>
              <w:right w:val="single" w:sz="8" w:space="0" w:color="auto"/>
            </w:tcBorders>
            <w:shd w:val="clear" w:color="auto" w:fill="auto"/>
            <w:noWrap/>
          </w:tcPr>
          <w:p w14:paraId="455AF72B" w14:textId="6589E923" w:rsidR="007C5C11" w:rsidRPr="007C5C11" w:rsidRDefault="2248451C" w:rsidP="2248451C">
            <w:pPr>
              <w:spacing w:after="0"/>
              <w:jc w:val="right"/>
              <w:rPr>
                <w:b/>
                <w:bCs/>
                <w:color w:val="000000" w:themeColor="text1"/>
                <w:sz w:val="22"/>
                <w:szCs w:val="22"/>
              </w:rPr>
            </w:pPr>
            <w:r w:rsidRPr="2248451C">
              <w:rPr>
                <w:b/>
                <w:bCs/>
                <w:sz w:val="22"/>
                <w:szCs w:val="22"/>
              </w:rPr>
              <w:t>104,4</w:t>
            </w:r>
          </w:p>
        </w:tc>
      </w:tr>
    </w:tbl>
    <w:p w14:paraId="27EF02E4" w14:textId="79AEF943" w:rsidR="00FC780F" w:rsidRDefault="00FC780F" w:rsidP="00A9031A">
      <w:pPr>
        <w:spacing w:after="0"/>
        <w:rPr>
          <w:szCs w:val="26"/>
        </w:rPr>
      </w:pPr>
    </w:p>
    <w:p w14:paraId="489D829D" w14:textId="77777777" w:rsidR="000353E7" w:rsidRDefault="000353E7" w:rsidP="00A9031A">
      <w:pPr>
        <w:spacing w:after="0"/>
        <w:rPr>
          <w:szCs w:val="26"/>
        </w:rPr>
      </w:pPr>
    </w:p>
    <w:p w14:paraId="720532DF" w14:textId="77777777" w:rsidR="00DF7DBE" w:rsidRPr="00DF7DBE" w:rsidRDefault="2248451C" w:rsidP="2248451C">
      <w:pPr>
        <w:rPr>
          <w:rFonts w:cs="Tahoma"/>
          <w:color w:val="000000" w:themeColor="text1"/>
        </w:rPr>
      </w:pPr>
      <w:r w:rsidRPr="2248451C">
        <w:rPr>
          <w:rFonts w:cs="Tahoma"/>
          <w:color w:val="000000" w:themeColor="text1"/>
        </w:rPr>
        <w:t>A „</w:t>
      </w:r>
      <w:r w:rsidRPr="2248451C">
        <w:rPr>
          <w:rFonts w:cs="Tahoma"/>
          <w:b/>
          <w:bCs/>
          <w:color w:val="000000" w:themeColor="text1"/>
        </w:rPr>
        <w:t>Központi Maradványalapba történő befizetések</w:t>
      </w:r>
      <w:r w:rsidRPr="2248451C">
        <w:rPr>
          <w:rFonts w:cs="Tahoma"/>
          <w:color w:val="000000" w:themeColor="text1"/>
        </w:rPr>
        <w:t>” mérlegsorra, a költségvetési szervek és a szakmai fejezeti kezelésű előirányzatok terhére 2020. július végéig összesen 324,0 milliárd forint maradvány került befizetésre, amely 60,8 </w:t>
      </w:r>
      <w:r>
        <w:t>milliárd forinttal több az egy évvel korábbi összegnél.</w:t>
      </w:r>
    </w:p>
    <w:p w14:paraId="34036852" w14:textId="3BD34105" w:rsidR="40B3576B" w:rsidRDefault="2248451C" w:rsidP="40B3576B">
      <w:r>
        <w:t xml:space="preserve">Az </w:t>
      </w:r>
      <w:r w:rsidRPr="2248451C">
        <w:rPr>
          <w:b/>
          <w:bCs/>
        </w:rPr>
        <w:t>állami vagyonnal kapcsolatos befizetések</w:t>
      </w:r>
      <w:r>
        <w:t xml:space="preserve"> összege július végéig 236,3 milliárd forint volt, melynek meghatározó tételei a frekvenciahasznosítással kapcsolatos 128,5 milliárd forintos összeg, a kvótaértékesítésből származó bevétel, az MNV Zrt. rábízott vagyonával kapcsolatos bevételek, továbbá a koncessziós díjakból befolyó összegek és az osztalékbevételek. A befizetések összetételét a következő diagram szemlélteti.</w:t>
      </w:r>
    </w:p>
    <w:p w14:paraId="183DA35F" w14:textId="2393D656" w:rsidR="00FA7A81" w:rsidRDefault="00AB4C01" w:rsidP="40B3576B">
      <w:r>
        <w:rPr>
          <w:noProof/>
        </w:rPr>
        <w:lastRenderedPageBreak/>
        <w:drawing>
          <wp:inline distT="0" distB="0" distL="0" distR="0" wp14:anchorId="79926413" wp14:editId="1FFFBCA3">
            <wp:extent cx="5940425" cy="3705225"/>
            <wp:effectExtent l="0" t="0" r="3175"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gyon_befizetések.png"/>
                    <pic:cNvPicPr/>
                  </pic:nvPicPr>
                  <pic:blipFill>
                    <a:blip r:embed="rId17">
                      <a:extLst>
                        <a:ext uri="{28A0092B-C50C-407E-A947-70E740481C1C}">
                          <a14:useLocalDpi xmlns:a14="http://schemas.microsoft.com/office/drawing/2010/main" val="0"/>
                        </a:ext>
                      </a:extLst>
                    </a:blip>
                    <a:stretch>
                      <a:fillRect/>
                    </a:stretch>
                  </pic:blipFill>
                  <pic:spPr>
                    <a:xfrm>
                      <a:off x="0" y="0"/>
                      <a:ext cx="5940425" cy="3705225"/>
                    </a:xfrm>
                    <a:prstGeom prst="rect">
                      <a:avLst/>
                    </a:prstGeom>
                  </pic:spPr>
                </pic:pic>
              </a:graphicData>
            </a:graphic>
          </wp:inline>
        </w:drawing>
      </w:r>
    </w:p>
    <w:p w14:paraId="5798DCE5" w14:textId="77777777" w:rsidR="006411E3" w:rsidRDefault="006411E3" w:rsidP="40B3576B"/>
    <w:p w14:paraId="5EE7FF7B" w14:textId="26D4E073" w:rsidR="2EF4C331" w:rsidRDefault="2248451C" w:rsidP="2EF4C331">
      <w:r>
        <w:t xml:space="preserve">Az </w:t>
      </w:r>
      <w:r w:rsidRPr="2248451C">
        <w:rPr>
          <w:b/>
          <w:bCs/>
        </w:rPr>
        <w:t>uniós bevételek</w:t>
      </w:r>
      <w:r>
        <w:t xml:space="preserve"> főszabály szerint a XLII. A költségvetés közvetlen bevételei és kiadásai fejezetbe érkeznek, ezek kimutatására szolgál az „Uniós programok bevételei” mérlegsor, valamint az „Egyéb uniós bevételek” mérlegsor. </w:t>
      </w:r>
    </w:p>
    <w:p w14:paraId="29B16B02" w14:textId="5D5E761A" w:rsidR="00271D40" w:rsidRDefault="2248451C" w:rsidP="6D01B43F">
      <w:r>
        <w:t xml:space="preserve">Az </w:t>
      </w:r>
      <w:r w:rsidRPr="2248451C">
        <w:rPr>
          <w:b/>
          <w:bCs/>
        </w:rPr>
        <w:t>Uniós programok bevételei</w:t>
      </w:r>
      <w:r>
        <w:t xml:space="preserve"> mérlegsoron, 2020 első hét hónapjában 486,3</w:t>
      </w:r>
      <w:r w:rsidR="00F32C73">
        <w:t> </w:t>
      </w:r>
      <w:r>
        <w:t>milliárd forint bevétel keletkezett. Ez az összeg az éves előirányzat 32,8%-át teszi ki.</w:t>
      </w:r>
    </w:p>
    <w:p w14:paraId="5B50BC65" w14:textId="62F7AFD3" w:rsidR="00271D40" w:rsidRDefault="2248451C" w:rsidP="6D01B43F">
      <w:r>
        <w:t>Az „</w:t>
      </w:r>
      <w:r w:rsidRPr="2248451C">
        <w:rPr>
          <w:b/>
          <w:bCs/>
        </w:rPr>
        <w:t>Egyéb uniós bevételek</w:t>
      </w:r>
      <w:r>
        <w:t>” soron belül a vámbeszedési költség megtérítése</w:t>
      </w:r>
      <w:r w:rsidRPr="2248451C">
        <w:rPr>
          <w:i/>
          <w:iCs/>
        </w:rPr>
        <w:t xml:space="preserve"> </w:t>
      </w:r>
      <w:r>
        <w:t>8,9</w:t>
      </w:r>
      <w:r w:rsidR="00A8445A">
        <w:t> </w:t>
      </w:r>
      <w:r>
        <w:t>milliárd forintot tett ki július végéig. Ez az összeg az éves előirányzat 52,0%-a, és 0,5</w:t>
      </w:r>
      <w:r w:rsidR="00A8445A">
        <w:t> </w:t>
      </w:r>
      <w:r>
        <w:t>milliárd forinttal marad</w:t>
      </w:r>
      <w:r w:rsidR="00A8445A">
        <w:t>t</w:t>
      </w:r>
      <w:r>
        <w:t xml:space="preserve"> el a 2019. év azonos időszakában keletkezett bevételtől. Az </w:t>
      </w:r>
      <w:r w:rsidR="00A8445A">
        <w:t>„</w:t>
      </w:r>
      <w:r>
        <w:t>Uniós támogatások utólagos megtérítése</w:t>
      </w:r>
      <w:r w:rsidR="00A8445A">
        <w:t>”</w:t>
      </w:r>
      <w:r>
        <w:t xml:space="preserve"> soron 2020. július végéig 1,9</w:t>
      </w:r>
      <w:r w:rsidR="00A8445A">
        <w:t> </w:t>
      </w:r>
      <w:r>
        <w:t>milliárd forint bevétel keletkezett, amely mögött maradvány és számlaegyenleg</w:t>
      </w:r>
      <w:r w:rsidR="00A8445A">
        <w:t>-</w:t>
      </w:r>
      <w:r>
        <w:t>beutalás áll.</w:t>
      </w:r>
    </w:p>
    <w:p w14:paraId="6D369440" w14:textId="1C7C9F48" w:rsidR="00271D40" w:rsidRDefault="2248451C" w:rsidP="6D01B43F">
      <w:r>
        <w:t xml:space="preserve">Az év első hét hónapjában </w:t>
      </w:r>
      <w:r w:rsidRPr="2248451C">
        <w:rPr>
          <w:b/>
          <w:bCs/>
        </w:rPr>
        <w:t>a szociális hozzájárulási adóból és járulékokból a Nyugdíjbiztosítási Alapot megillető bevételek</w:t>
      </w:r>
      <w:r>
        <w:t xml:space="preserve"> (1927,9</w:t>
      </w:r>
      <w:r w:rsidR="00E40DC1">
        <w:t> </w:t>
      </w:r>
      <w:r>
        <w:t>milliárd forint) 1,7%</w:t>
      </w:r>
      <w:r w:rsidR="00C53E16">
        <w:t>-</w:t>
      </w:r>
      <w:r>
        <w:t>kal, 33,</w:t>
      </w:r>
      <w:r w:rsidR="00C85FAE">
        <w:t>3</w:t>
      </w:r>
      <w:r w:rsidR="00E40DC1">
        <w:t> </w:t>
      </w:r>
      <w:r>
        <w:t>milliárd forinttal maradtak el az előző éves héthavi halmozott bevételtől. A szociális hozzájárulási adó és járulékok előző évhez viszonyított elemzésekor figyelembe kell venni, hogy 2020-ban a szociális hozzájárulási adó bevétel 71,63%-a, 2019-b</w:t>
      </w:r>
      <w:r w:rsidR="008C59F6">
        <w:t>e</w:t>
      </w:r>
      <w:r>
        <w:t>n 70,22%</w:t>
      </w:r>
      <w:r w:rsidR="00246195">
        <w:noBreakHyphen/>
      </w:r>
      <w:r w:rsidR="0031141F">
        <w:t>a</w:t>
      </w:r>
      <w:r>
        <w:t xml:space="preserve"> illette meg a Ny</w:t>
      </w:r>
      <w:r w:rsidR="00EF5EE5">
        <w:t>ugdíjbiztosítási</w:t>
      </w:r>
      <w:r>
        <w:t xml:space="preserve"> Alapot. 2020 januárjában továbbá 17,5%-os, 2019 januárjában pedig 19,5%-os szociális hozzájárulási adó teher mellett történt a befizetés. A koronavírus</w:t>
      </w:r>
      <w:r w:rsidR="00CC24FB">
        <w:t>-járvány</w:t>
      </w:r>
      <w:r>
        <w:t xml:space="preserve"> már negyedik hónapja érezteti hatás</w:t>
      </w:r>
      <w:r w:rsidR="009F5D75">
        <w:t>át</w:t>
      </w:r>
      <w:r>
        <w:t xml:space="preserve"> a bevételekre nézve, a bevezetett munkaadói és munkavállalói kedvezmények pedig további elmaradásokat eredményeztek. A fenti hatások eredőjeként az év első hét hónapjában a Ny</w:t>
      </w:r>
      <w:r w:rsidR="000910DA">
        <w:t>ugdíjbiztosítási</w:t>
      </w:r>
      <w:r>
        <w:t xml:space="preserve"> Alapot megillető szociális hozzájárulási adóbevétel 6,4%-kal (72,0</w:t>
      </w:r>
      <w:r w:rsidR="00421486">
        <w:t> </w:t>
      </w:r>
      <w:r>
        <w:t>milliárd forint) csökkent a 2019 azonos időszakában befolyt összeghez képest. Az adó- és járulékbevételeken belül a biztosítottak által fizetett nyugdíjjárulék 2020 első hét hónapjában 38,6</w:t>
      </w:r>
      <w:r w:rsidR="00992D6B">
        <w:t> </w:t>
      </w:r>
      <w:r>
        <w:t>milliárd forinttal, 4,6%-kal növekedett a bázishoz képest</w:t>
      </w:r>
      <w:r w:rsidR="00C3053F">
        <w:t>.</w:t>
      </w:r>
      <w:r>
        <w:t xml:space="preserve"> </w:t>
      </w:r>
      <w:r w:rsidR="00C3053F">
        <w:t xml:space="preserve">Ennek </w:t>
      </w:r>
      <w:r>
        <w:lastRenderedPageBreak/>
        <w:t>hátterében a bruttókereset-növekedés áll</w:t>
      </w:r>
      <w:r w:rsidR="00C3053F">
        <w:t xml:space="preserve">, melyet </w:t>
      </w:r>
      <w:r>
        <w:t>a koronavírus</w:t>
      </w:r>
      <w:r w:rsidR="00C3053F">
        <w:t>-</w:t>
      </w:r>
      <w:r>
        <w:t>járvány miatt bevezetett intézkedések mérsékelnek.</w:t>
      </w:r>
    </w:p>
    <w:p w14:paraId="1ECF6ABB" w14:textId="22CB01EB" w:rsidR="00C132B3" w:rsidRDefault="2248451C" w:rsidP="00C132B3">
      <w:r>
        <w:t>A</w:t>
      </w:r>
      <w:r w:rsidRPr="2248451C">
        <w:rPr>
          <w:rFonts w:eastAsia="Calibri"/>
        </w:rPr>
        <w:t xml:space="preserve">z </w:t>
      </w:r>
      <w:r w:rsidRPr="2248451C">
        <w:rPr>
          <w:rFonts w:eastAsia="Calibri"/>
          <w:b/>
          <w:bCs/>
        </w:rPr>
        <w:t xml:space="preserve">Egészségbiztosítási Alap </w:t>
      </w:r>
      <w:r w:rsidRPr="2248451C">
        <w:rPr>
          <w:rFonts w:eastAsia="Calibri"/>
        </w:rPr>
        <w:t xml:space="preserve">esetében a </w:t>
      </w:r>
      <w:r w:rsidRPr="2248451C">
        <w:rPr>
          <w:rFonts w:eastAsia="Calibri"/>
          <w:b/>
          <w:bCs/>
        </w:rPr>
        <w:t>szociális hozzájárulási adóból és járulékokból</w:t>
      </w:r>
      <w:r w:rsidRPr="2248451C">
        <w:rPr>
          <w:rFonts w:eastAsia="Calibri"/>
        </w:rPr>
        <w:t xml:space="preserve"> származó első héthavi bevételek (1007,7</w:t>
      </w:r>
      <w:r w:rsidR="008708E3">
        <w:rPr>
          <w:rFonts w:eastAsia="Calibri"/>
        </w:rPr>
        <w:t> </w:t>
      </w:r>
      <w:r w:rsidRPr="2248451C">
        <w:rPr>
          <w:rFonts w:eastAsia="Calibri"/>
        </w:rPr>
        <w:t>milliárd forint) 0,7%-kal, 6,</w:t>
      </w:r>
      <w:r w:rsidR="001839E8">
        <w:rPr>
          <w:rFonts w:eastAsia="Calibri"/>
        </w:rPr>
        <w:t>8</w:t>
      </w:r>
      <w:r w:rsidR="008708E3">
        <w:rPr>
          <w:rFonts w:eastAsia="Calibri"/>
        </w:rPr>
        <w:t> </w:t>
      </w:r>
      <w:r w:rsidRPr="2248451C">
        <w:rPr>
          <w:rFonts w:eastAsia="Calibri"/>
        </w:rPr>
        <w:t>milliárd forinttal haladták meg a bázisidőszak bevételeit. A szociális hozzájárulási adó és járulékok előző évhez viszonyított elemzésekor figyelembe kell venni, hogy megváltozott a szociális hozzájárulási adó megosztási aránya. 2020-ban a szociális hozzájárulási adó megfizetett összegének 28,37%-a, 2019-ben 27,31%-a az E</w:t>
      </w:r>
      <w:r w:rsidR="008708E3">
        <w:rPr>
          <w:rFonts w:eastAsia="Calibri"/>
        </w:rPr>
        <w:t>gészségbiztosítási</w:t>
      </w:r>
      <w:r w:rsidRPr="2248451C">
        <w:rPr>
          <w:rFonts w:eastAsia="Calibri"/>
        </w:rPr>
        <w:t xml:space="preserve"> Alapot illette meg. 2020 januárjában továbbá 17,5%-os, 2019 januárjában pedig 19,5%-os szociális hozzájárulási adó teher mellett történt a befizetés. A befolyt bevételből 409,7</w:t>
      </w:r>
      <w:r w:rsidR="00131129">
        <w:rPr>
          <w:rFonts w:eastAsia="Calibri"/>
        </w:rPr>
        <w:t> </w:t>
      </w:r>
      <w:r w:rsidRPr="2248451C">
        <w:rPr>
          <w:rFonts w:eastAsia="Calibri"/>
        </w:rPr>
        <w:t>milliárd forint a szociális hozzájárulási adó (40,7%) és 59</w:t>
      </w:r>
      <w:r w:rsidR="00B96C77">
        <w:rPr>
          <w:rFonts w:eastAsia="Calibri"/>
        </w:rPr>
        <w:t>8,0</w:t>
      </w:r>
      <w:r w:rsidR="00131129">
        <w:rPr>
          <w:rFonts w:eastAsia="Calibri"/>
        </w:rPr>
        <w:t> </w:t>
      </w:r>
      <w:r w:rsidRPr="2248451C">
        <w:rPr>
          <w:rFonts w:eastAsia="Calibri"/>
        </w:rPr>
        <w:t>milliárd forint a biztosítotti egészségbiztosítási járulékbevétel (59,3%). A koronavírus</w:t>
      </w:r>
      <w:r w:rsidR="00F72A15">
        <w:rPr>
          <w:rFonts w:eastAsia="Calibri"/>
        </w:rPr>
        <w:t>-járvány</w:t>
      </w:r>
      <w:r w:rsidRPr="2248451C">
        <w:rPr>
          <w:rFonts w:eastAsia="Calibri"/>
        </w:rPr>
        <w:t xml:space="preserve"> már negyedik hónapja érezteti hatás</w:t>
      </w:r>
      <w:r w:rsidR="00F72A15">
        <w:rPr>
          <w:rFonts w:eastAsia="Calibri"/>
        </w:rPr>
        <w:t>át</w:t>
      </w:r>
      <w:r w:rsidRPr="2248451C">
        <w:rPr>
          <w:rFonts w:eastAsia="Calibri"/>
        </w:rPr>
        <w:t xml:space="preserve"> a bevételekre nézve, a bevezetett munkaadói és munkavállalói kedvezmények pedig további elmaradásokat eredményeztek. Az előbbiek hatását a bevételek korábbi, dinamikus növekedési ütemének visszaesése is jól tükrözi</w:t>
      </w:r>
      <w:r>
        <w:t>.</w:t>
      </w:r>
    </w:p>
    <w:p w14:paraId="6A4C12B9" w14:textId="2A6240D0" w:rsidR="00BF59D1" w:rsidRDefault="2248451C" w:rsidP="008A2E55">
      <w:r>
        <w:t xml:space="preserve">Az </w:t>
      </w:r>
      <w:r w:rsidRPr="2248451C">
        <w:rPr>
          <w:b/>
          <w:bCs/>
        </w:rPr>
        <w:t xml:space="preserve">egészségbiztosítási és munkaerő-piaci járulék Nemzeti Foglalkoztatási Alapot </w:t>
      </w:r>
      <w:r>
        <w:t xml:space="preserve">(NFA) </w:t>
      </w:r>
      <w:r w:rsidRPr="2248451C">
        <w:rPr>
          <w:b/>
          <w:bCs/>
        </w:rPr>
        <w:t xml:space="preserve">megillető hányadából </w:t>
      </w:r>
      <w:r>
        <w:t>származó bevételek (132,7 milliárd forint) 2020 első hét hónapjában 4,7%-kal, 5,9</w:t>
      </w:r>
      <w:r w:rsidR="00616A23">
        <w:t> </w:t>
      </w:r>
      <w:r>
        <w:t xml:space="preserve">milliárd forinttal haladták meg a bázist. A bevétel növekedésének oka a bruttó keresetek növekedése. </w:t>
      </w:r>
      <w:r w:rsidR="004A4AEF" w:rsidRPr="2248451C">
        <w:rPr>
          <w:rFonts w:eastAsia="Calibri"/>
        </w:rPr>
        <w:t>A koronavírus</w:t>
      </w:r>
      <w:r w:rsidR="004A4AEF">
        <w:rPr>
          <w:rFonts w:eastAsia="Calibri"/>
        </w:rPr>
        <w:t>-járvány</w:t>
      </w:r>
      <w:r w:rsidR="004A4AEF" w:rsidRPr="2248451C">
        <w:rPr>
          <w:rFonts w:eastAsia="Calibri"/>
        </w:rPr>
        <w:t xml:space="preserve"> már negyedik hónapja érezteti hatás</w:t>
      </w:r>
      <w:r w:rsidR="004A4AEF">
        <w:rPr>
          <w:rFonts w:eastAsia="Calibri"/>
        </w:rPr>
        <w:t>át e bevételekre nézve is.</w:t>
      </w:r>
      <w:r>
        <w:t xml:space="preserve"> A </w:t>
      </w:r>
      <w:r w:rsidRPr="2248451C">
        <w:rPr>
          <w:b/>
          <w:bCs/>
        </w:rPr>
        <w:t>szociális hozzájárulási adóból</w:t>
      </w:r>
      <w:r>
        <w:t xml:space="preserve"> az NFA idén nem részesül.</w:t>
      </w:r>
    </w:p>
    <w:p w14:paraId="5376B2A2" w14:textId="483C23EC" w:rsidR="00C04F10" w:rsidRPr="00AE0F8C" w:rsidRDefault="2248451C" w:rsidP="2248451C">
      <w:pPr>
        <w:rPr>
          <w:rFonts w:eastAsia="Calibri"/>
        </w:rPr>
      </w:pPr>
      <w:r w:rsidRPr="2248451C">
        <w:rPr>
          <w:rFonts w:eastAsia="Calibri"/>
        </w:rPr>
        <w:t xml:space="preserve">Július végéig az Egészségbiztosítási Alap </w:t>
      </w:r>
      <w:r w:rsidRPr="2248451C">
        <w:rPr>
          <w:rFonts w:eastAsia="Calibri"/>
          <w:b/>
          <w:bCs/>
        </w:rPr>
        <w:t xml:space="preserve">egészségügyi hozzájárulásból </w:t>
      </w:r>
      <w:r w:rsidRPr="2248451C">
        <w:rPr>
          <w:rFonts w:eastAsia="Calibri"/>
        </w:rPr>
        <w:t>származó bevételei 0,5</w:t>
      </w:r>
      <w:r w:rsidR="000D3807">
        <w:rPr>
          <w:rFonts w:eastAsia="Calibri"/>
        </w:rPr>
        <w:t> </w:t>
      </w:r>
      <w:r w:rsidRPr="2248451C">
        <w:rPr>
          <w:rFonts w:eastAsia="Calibri"/>
        </w:rPr>
        <w:t>milliárd forintot tettek ki, amely 40,3</w:t>
      </w:r>
      <w:r w:rsidR="000D3807">
        <w:rPr>
          <w:rFonts w:eastAsia="Calibri"/>
        </w:rPr>
        <w:t> </w:t>
      </w:r>
      <w:r w:rsidRPr="2248451C">
        <w:rPr>
          <w:rFonts w:eastAsia="Calibri"/>
        </w:rPr>
        <w:t xml:space="preserve"> milliárd forinttal alacsonyabb, mint az előző évben befolyt összeg. E bevétel alakulásában szerepet játszik, hogy </w:t>
      </w:r>
      <w:r w:rsidR="00817E41">
        <w:rPr>
          <w:rFonts w:eastAsia="Calibri"/>
        </w:rPr>
        <w:t xml:space="preserve">2019-ben </w:t>
      </w:r>
      <w:r w:rsidRPr="2248451C">
        <w:rPr>
          <w:rFonts w:eastAsia="Calibri"/>
        </w:rPr>
        <w:t>az egészségügyi hozzájárulás adónem beolvadt a szociális hozzájárulási adóba, emiatt 2020</w:t>
      </w:r>
      <w:r w:rsidR="00817E41">
        <w:rPr>
          <w:rFonts w:eastAsia="Calibri"/>
        </w:rPr>
        <w:noBreakHyphen/>
      </w:r>
      <w:r w:rsidRPr="2248451C">
        <w:rPr>
          <w:rFonts w:eastAsia="Calibri"/>
        </w:rPr>
        <w:t>ban már csak kisebb tételek, önrevíziók várhatóak az adónemben.</w:t>
      </w:r>
    </w:p>
    <w:p w14:paraId="6DD0D992" w14:textId="0DF00D5F" w:rsidR="5B83E8AE" w:rsidRPr="00AE0F8C" w:rsidRDefault="2248451C" w:rsidP="5B83E8AE">
      <w:pPr>
        <w:spacing w:after="240"/>
      </w:pPr>
      <w:r>
        <w:t xml:space="preserve">A </w:t>
      </w:r>
      <w:r w:rsidRPr="2248451C">
        <w:rPr>
          <w:b/>
          <w:bCs/>
        </w:rPr>
        <w:t>Nyugdíjbiztosítási Alap</w:t>
      </w:r>
      <w:r>
        <w:t xml:space="preserve"> 2020-ban 46,9 milliárd forint </w:t>
      </w:r>
      <w:r w:rsidRPr="2248451C">
        <w:rPr>
          <w:b/>
          <w:bCs/>
        </w:rPr>
        <w:t>központi költségvetési támogatásban</w:t>
      </w:r>
      <w:r>
        <w:t xml:space="preserve"> részesül. A támogatás 27,4 milliárd forintos, I-VII. havi időarányos összegét a Magyar Államkincstár a Nyugdíjbiztosítási Alap részére átutalta.</w:t>
      </w:r>
    </w:p>
    <w:p w14:paraId="20E1ECB6" w14:textId="28397B94" w:rsidR="4EFB9DEF" w:rsidRPr="00A24CCB" w:rsidRDefault="2248451C" w:rsidP="4EFB9DEF">
      <w:pPr>
        <w:rPr>
          <w:rFonts w:eastAsia="Calibri"/>
        </w:rPr>
      </w:pPr>
      <w:r w:rsidRPr="00A24CCB">
        <w:rPr>
          <w:rFonts w:eastAsia="Calibri"/>
        </w:rPr>
        <w:t xml:space="preserve">Az </w:t>
      </w:r>
      <w:r w:rsidRPr="00A24CCB">
        <w:rPr>
          <w:rFonts w:eastAsia="Calibri"/>
          <w:b/>
        </w:rPr>
        <w:t>Egészségbiztosítási Alap</w:t>
      </w:r>
      <w:r w:rsidRPr="00A24CCB">
        <w:rPr>
          <w:rFonts w:eastAsia="Calibri"/>
        </w:rPr>
        <w:t xml:space="preserve"> költségvetési támogatásai, térítései 2020 első hét hónapjában összesen 342,1</w:t>
      </w:r>
      <w:r w:rsidR="00395EBD">
        <w:rPr>
          <w:rFonts w:eastAsia="Calibri"/>
        </w:rPr>
        <w:t> </w:t>
      </w:r>
      <w:r w:rsidRPr="00A24CCB">
        <w:rPr>
          <w:rFonts w:eastAsia="Calibri"/>
        </w:rPr>
        <w:t>milliárd forintot tettek ki, amely 83,7</w:t>
      </w:r>
      <w:r w:rsidR="00395EBD">
        <w:rPr>
          <w:rFonts w:eastAsia="Calibri"/>
        </w:rPr>
        <w:t> </w:t>
      </w:r>
      <w:r w:rsidRPr="00A24CCB">
        <w:rPr>
          <w:rFonts w:eastAsia="Calibri"/>
        </w:rPr>
        <w:t>milliárd forinttal magasabb, mint az előző év azonos időszakában átutalt összeg. 2020 I-VII. hónapjában az Egészségbiztosítási Alap járulék címen átvett pénzeszközként 270,3</w:t>
      </w:r>
      <w:r w:rsidR="00395EBD">
        <w:rPr>
          <w:rFonts w:eastAsia="Calibri"/>
        </w:rPr>
        <w:t> </w:t>
      </w:r>
      <w:r w:rsidRPr="00A24CCB">
        <w:rPr>
          <w:rFonts w:eastAsia="Calibri"/>
        </w:rPr>
        <w:t>milliárd forint támogatást kapott, szemben a tavalyi év azonos időszakában átutalt 255,2</w:t>
      </w:r>
      <w:r w:rsidR="00395EBD">
        <w:rPr>
          <w:rFonts w:eastAsia="Calibri"/>
        </w:rPr>
        <w:t> </w:t>
      </w:r>
      <w:r w:rsidRPr="00A24CCB">
        <w:rPr>
          <w:rFonts w:eastAsia="Calibri"/>
        </w:rPr>
        <w:t xml:space="preserve">milliárd forintos összeggel. 2019-ben </w:t>
      </w:r>
      <w:r w:rsidR="005167F3">
        <w:rPr>
          <w:rFonts w:eastAsia="Calibri"/>
        </w:rPr>
        <w:t>t</w:t>
      </w:r>
      <w:r w:rsidRPr="00A24CCB">
        <w:rPr>
          <w:rFonts w:eastAsia="Calibri"/>
        </w:rPr>
        <w:t>ervezett pénzeszközátvétel nem volt, 2020 júliusáig ez a támogatás 68,7</w:t>
      </w:r>
      <w:r w:rsidR="00395EBD">
        <w:rPr>
          <w:rFonts w:eastAsia="Calibri"/>
        </w:rPr>
        <w:t> </w:t>
      </w:r>
      <w:r w:rsidRPr="00A24CCB">
        <w:rPr>
          <w:rFonts w:eastAsia="Calibri"/>
        </w:rPr>
        <w:t>milliárd forintot tett ki. A fennmaradó részt az egészségügyi feladatok ellátásával kapcsolatos hozzájárulás tette ki.</w:t>
      </w:r>
    </w:p>
    <w:p w14:paraId="0B65FEAA" w14:textId="574FB274" w:rsidR="000F6073" w:rsidRPr="00AE0F8C" w:rsidRDefault="6AF02DC7" w:rsidP="6D01B43F">
      <w:pPr>
        <w:rPr>
          <w:b/>
          <w:bCs/>
          <w:smallCaps/>
        </w:rPr>
      </w:pPr>
      <w:r w:rsidRPr="00AE0F8C">
        <w:br w:type="page"/>
      </w:r>
    </w:p>
    <w:p w14:paraId="5D4F02CB" w14:textId="5640B4D4" w:rsidR="006E4EA6" w:rsidRDefault="2248451C" w:rsidP="2248451C">
      <w:pPr>
        <w:pStyle w:val="Cmsor3"/>
        <w:numPr>
          <w:ilvl w:val="0"/>
          <w:numId w:val="8"/>
        </w:numPr>
        <w:spacing w:before="0" w:after="120"/>
        <w:jc w:val="left"/>
        <w:rPr>
          <w:sz w:val="26"/>
          <w:szCs w:val="26"/>
        </w:rPr>
      </w:pPr>
      <w:r w:rsidRPr="2248451C">
        <w:rPr>
          <w:sz w:val="26"/>
          <w:szCs w:val="26"/>
        </w:rPr>
        <w:lastRenderedPageBreak/>
        <w:t xml:space="preserve">A főbb kiadások </w:t>
      </w:r>
    </w:p>
    <w:p w14:paraId="66A0F3A1" w14:textId="77777777" w:rsidR="00953258" w:rsidRDefault="00953258" w:rsidP="00953258">
      <w:pPr>
        <w:rPr>
          <w:b/>
        </w:rPr>
      </w:pPr>
    </w:p>
    <w:p w14:paraId="06D28E67" w14:textId="7EBA865B" w:rsidR="00EA672D" w:rsidRPr="00EA672D" w:rsidRDefault="2248451C" w:rsidP="2248451C">
      <w:pPr>
        <w:rPr>
          <w:b/>
          <w:bCs/>
        </w:rPr>
      </w:pPr>
      <w:r w:rsidRPr="2248451C">
        <w:rPr>
          <w:b/>
          <w:bCs/>
        </w:rPr>
        <w:t xml:space="preserve">A központi alrendszer 2020. évi július végi 14 668,4 milliárd forint összegű kiadásai 2355,9 milliárd forinttal, 19,1%-kal haladták meg az előző év azonos időszakának a teljesítését, mely elsősorban a költségvetési szervek kiadásainak és az egyéb szakmai fejezeti kezelésű előirányzatok kiadásainak, valamint az uniós programok kiadásainak a 2019. év első hét hónapjához viszonyított magasabb teljesülésével függ össze. Magasabban alakultak továbbá az előző év azonos időszakához képest a nyugellátásokra és a gyógyító-megelőző ellátásra fordított összegek is. </w:t>
      </w:r>
    </w:p>
    <w:p w14:paraId="7D7BB282" w14:textId="77777777" w:rsidR="00242D74" w:rsidRDefault="00242D74" w:rsidP="002109F5"/>
    <w:p w14:paraId="72459F62" w14:textId="62FC8C53" w:rsidR="00FB5E61" w:rsidRDefault="00B47598" w:rsidP="002109F5">
      <w:r>
        <w:rPr>
          <w:noProof/>
        </w:rPr>
        <w:drawing>
          <wp:inline distT="0" distB="0" distL="0" distR="0" wp14:anchorId="0DA04504" wp14:editId="45C01D82">
            <wp:extent cx="5940425" cy="2130425"/>
            <wp:effectExtent l="0" t="0" r="3175" b="317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adás_megoszlás.png"/>
                    <pic:cNvPicPr/>
                  </pic:nvPicPr>
                  <pic:blipFill>
                    <a:blip r:embed="rId18">
                      <a:extLst>
                        <a:ext uri="{28A0092B-C50C-407E-A947-70E740481C1C}">
                          <a14:useLocalDpi xmlns:a14="http://schemas.microsoft.com/office/drawing/2010/main" val="0"/>
                        </a:ext>
                      </a:extLst>
                    </a:blip>
                    <a:stretch>
                      <a:fillRect/>
                    </a:stretch>
                  </pic:blipFill>
                  <pic:spPr>
                    <a:xfrm>
                      <a:off x="0" y="0"/>
                      <a:ext cx="5940425" cy="2130425"/>
                    </a:xfrm>
                    <a:prstGeom prst="rect">
                      <a:avLst/>
                    </a:prstGeom>
                  </pic:spPr>
                </pic:pic>
              </a:graphicData>
            </a:graphic>
          </wp:inline>
        </w:drawing>
      </w:r>
    </w:p>
    <w:p w14:paraId="23592D28" w14:textId="77777777" w:rsidR="00B47598" w:rsidRDefault="00B47598" w:rsidP="002109F5"/>
    <w:p w14:paraId="1BE6339D" w14:textId="5882AB8A" w:rsidR="00693A8F" w:rsidRDefault="2248451C" w:rsidP="00693A8F">
      <w:r>
        <w:t xml:space="preserve">Az </w:t>
      </w:r>
      <w:r w:rsidRPr="2248451C">
        <w:rPr>
          <w:b/>
          <w:bCs/>
        </w:rPr>
        <w:t>egyedi és normatív támogatásokra</w:t>
      </w:r>
      <w:r>
        <w:t xml:space="preserve"> fordított kiadások július végéig 333,3</w:t>
      </w:r>
      <w:r w:rsidR="002A2628">
        <w:t> </w:t>
      </w:r>
      <w:r>
        <w:t>milliárd forintot tettek ki, amely 7</w:t>
      </w:r>
      <w:r w:rsidR="00426F41">
        <w:t>2,0</w:t>
      </w:r>
      <w:r w:rsidR="002A2628">
        <w:t> </w:t>
      </w:r>
      <w:r>
        <w:t>milliárd forinttal haladta meg az előző év azonos időszakának teljesítését. Az eltérést az magyarázza, hogy a vasúti pályahálózat-működtetési költségtérítésre idén 8,0</w:t>
      </w:r>
      <w:r w:rsidR="002A2628">
        <w:t> </w:t>
      </w:r>
      <w:r>
        <w:t>milliárd forinttal, az elővárosi közösségi közlekedés támogatására 1,8</w:t>
      </w:r>
      <w:r w:rsidR="002A2628">
        <w:t> </w:t>
      </w:r>
      <w:r>
        <w:t xml:space="preserve">milliárd forinttal, a közösségi közlekedés személyszállítási költségtérítésére pedig </w:t>
      </w:r>
      <w:r w:rsidR="00C3441E">
        <w:t xml:space="preserve">közel </w:t>
      </w:r>
      <w:r>
        <w:t>65</w:t>
      </w:r>
      <w:r w:rsidR="002A2628">
        <w:t> </w:t>
      </w:r>
      <w:r>
        <w:t>milliárd forinttal több kiadás lett elszámolva. Az Eximbank Zrt. részére nyújtott kamatkiegyenlítés összege viszont 2,9</w:t>
      </w:r>
      <w:r w:rsidR="002A2628">
        <w:t> </w:t>
      </w:r>
      <w:r>
        <w:t>milliárd forinttal alacsonyabb lett az egy évvel korábbinál. A főbb tételek alakulását a következő diagram szemlélteti:</w:t>
      </w:r>
    </w:p>
    <w:p w14:paraId="346F44D5" w14:textId="0604C890" w:rsidR="00786039" w:rsidRDefault="00D97425" w:rsidP="1333584D">
      <w:pPr>
        <w:rPr>
          <w:rFonts w:cs="Tahoma"/>
          <w:color w:val="000000" w:themeColor="text1"/>
        </w:rPr>
      </w:pPr>
      <w:r>
        <w:rPr>
          <w:rFonts w:cs="Tahoma"/>
          <w:noProof/>
          <w:color w:val="000000" w:themeColor="text1"/>
        </w:rPr>
        <w:lastRenderedPageBreak/>
        <w:drawing>
          <wp:inline distT="0" distB="0" distL="0" distR="0" wp14:anchorId="008EFA95" wp14:editId="7AB8E33E">
            <wp:extent cx="5940425" cy="3529330"/>
            <wp:effectExtent l="0" t="0" r="3175"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yedi_és_normatív_tám.png"/>
                    <pic:cNvPicPr/>
                  </pic:nvPicPr>
                  <pic:blipFill>
                    <a:blip r:embed="rId19">
                      <a:extLst>
                        <a:ext uri="{28A0092B-C50C-407E-A947-70E740481C1C}">
                          <a14:useLocalDpi xmlns:a14="http://schemas.microsoft.com/office/drawing/2010/main" val="0"/>
                        </a:ext>
                      </a:extLst>
                    </a:blip>
                    <a:stretch>
                      <a:fillRect/>
                    </a:stretch>
                  </pic:blipFill>
                  <pic:spPr>
                    <a:xfrm>
                      <a:off x="0" y="0"/>
                      <a:ext cx="5940425" cy="3529330"/>
                    </a:xfrm>
                    <a:prstGeom prst="rect">
                      <a:avLst/>
                    </a:prstGeom>
                  </pic:spPr>
                </pic:pic>
              </a:graphicData>
            </a:graphic>
          </wp:inline>
        </w:drawing>
      </w:r>
    </w:p>
    <w:p w14:paraId="21F2B9E6" w14:textId="77777777" w:rsidR="00D97425" w:rsidRDefault="00D97425" w:rsidP="1333584D">
      <w:pPr>
        <w:rPr>
          <w:rFonts w:cs="Tahoma"/>
          <w:color w:val="000000" w:themeColor="text1"/>
        </w:rPr>
      </w:pPr>
    </w:p>
    <w:p w14:paraId="47E495F8" w14:textId="50D010B9" w:rsidR="00567033" w:rsidRPr="00342044" w:rsidRDefault="2248451C" w:rsidP="2248451C">
      <w:pPr>
        <w:rPr>
          <w:rFonts w:cs="Tahoma"/>
          <w:color w:val="000000" w:themeColor="text1"/>
        </w:rPr>
      </w:pPr>
      <w:r w:rsidRPr="2248451C">
        <w:rPr>
          <w:rFonts w:cs="Tahoma"/>
          <w:color w:val="000000" w:themeColor="text1"/>
        </w:rPr>
        <w:t xml:space="preserve">A </w:t>
      </w:r>
      <w:r w:rsidRPr="2248451C">
        <w:rPr>
          <w:rFonts w:cs="Tahoma"/>
          <w:b/>
          <w:bCs/>
          <w:color w:val="000000" w:themeColor="text1"/>
        </w:rPr>
        <w:t>lakásépítési támogatásokra</w:t>
      </w:r>
      <w:r w:rsidRPr="2248451C">
        <w:rPr>
          <w:rFonts w:cs="Tahoma"/>
          <w:color w:val="000000" w:themeColor="text1"/>
        </w:rPr>
        <w:t xml:space="preserve"> fordított kiadások összege az év első hét hónapjában 145,2 milliárd forint volt, mely az előző év azonos időszakához viszonyítva 3</w:t>
      </w:r>
      <w:r w:rsidR="00373DC3">
        <w:rPr>
          <w:rFonts w:cs="Tahoma"/>
          <w:color w:val="000000" w:themeColor="text1"/>
        </w:rPr>
        <w:t>3,9</w:t>
      </w:r>
      <w:r w:rsidRPr="2248451C">
        <w:rPr>
          <w:rFonts w:cs="Tahoma"/>
          <w:color w:val="000000" w:themeColor="text1"/>
        </w:rPr>
        <w:t> milliárd forinttal teljesült magasabban. Az eltérés elsősorban a 2019. július 1-jétől egyes meglévő konstrukciók – ilyen a családi otthonteremtési kedvezmény – új elemekkel történő kiterjesztésére vezethető vissza. Az idei kifizetés emelkedését okozta még a szintén 2019. július 1-jétől kezdődően a többgyermekes családok lakáscélú jelzáloghitel-tartozásának csökkentésére nyújtott támogatás igénybevételi lehetőségének kibővítése, valamint összegének jelentős megemelése. Ezenfelül az árfolyam- és a referenciahozamok, valamint a további konstrukciókat igénybe vevők létszámának alakulása is befolyásolta a kifizetéseket.</w:t>
      </w:r>
    </w:p>
    <w:p w14:paraId="10F6EA13" w14:textId="3513840B" w:rsidR="009F77CF" w:rsidRDefault="2248451C" w:rsidP="51CD5D50">
      <w:r w:rsidRPr="2248451C">
        <w:rPr>
          <w:rFonts w:cs="Tahoma"/>
          <w:color w:val="000000" w:themeColor="text1"/>
        </w:rPr>
        <w:t xml:space="preserve">A </w:t>
      </w:r>
      <w:r w:rsidRPr="2248451C">
        <w:rPr>
          <w:rFonts w:cs="Tahoma"/>
          <w:b/>
          <w:bCs/>
          <w:color w:val="000000" w:themeColor="text1"/>
        </w:rPr>
        <w:t>Nemzeti Család- és Szociálpolitikai Alap</w:t>
      </w:r>
      <w:r w:rsidRPr="2248451C">
        <w:rPr>
          <w:rFonts w:cs="Tahoma"/>
          <w:color w:val="000000" w:themeColor="text1"/>
        </w:rPr>
        <w:t xml:space="preserve"> a családi támogatásokat, a korhatár alatti ellátásokat, a jövedelempótló és jövedelemkiegészítő szociális támogatásokat, </w:t>
      </w:r>
      <w:r>
        <w:t>valamint a különféle jogcímen adott térítéseket tartalmazza. A főbb támogatásokat a következő táblázat részletezi:</w:t>
      </w:r>
      <w:r w:rsidR="6D01B43F">
        <w:br w:type="page"/>
      </w:r>
    </w:p>
    <w:tbl>
      <w:tblPr>
        <w:tblW w:w="7520" w:type="dxa"/>
        <w:tblInd w:w="354" w:type="dxa"/>
        <w:tblCellMar>
          <w:left w:w="70" w:type="dxa"/>
          <w:right w:w="70" w:type="dxa"/>
        </w:tblCellMar>
        <w:tblLook w:val="04A0" w:firstRow="1" w:lastRow="0" w:firstColumn="1" w:lastColumn="0" w:noHBand="0" w:noVBand="1"/>
      </w:tblPr>
      <w:tblGrid>
        <w:gridCol w:w="4180"/>
        <w:gridCol w:w="980"/>
        <w:gridCol w:w="960"/>
        <w:gridCol w:w="807"/>
        <w:gridCol w:w="593"/>
      </w:tblGrid>
      <w:tr w:rsidR="0050193A" w:rsidRPr="0050193A" w14:paraId="22CD90D0" w14:textId="77777777" w:rsidTr="000D134F">
        <w:trPr>
          <w:trHeight w:val="270"/>
        </w:trPr>
        <w:tc>
          <w:tcPr>
            <w:tcW w:w="4180"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65CECE34" w14:textId="77777777" w:rsidR="0050193A" w:rsidRPr="0050193A" w:rsidRDefault="2248451C" w:rsidP="000D134F">
            <w:pPr>
              <w:spacing w:after="0"/>
              <w:jc w:val="center"/>
              <w:rPr>
                <w:b/>
                <w:bCs/>
                <w:sz w:val="14"/>
                <w:szCs w:val="14"/>
              </w:rPr>
            </w:pPr>
            <w:r w:rsidRPr="2248451C">
              <w:rPr>
                <w:b/>
                <w:bCs/>
                <w:sz w:val="14"/>
                <w:szCs w:val="14"/>
              </w:rPr>
              <w:lastRenderedPageBreak/>
              <w:t>Megnevezés</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98F42" w14:textId="77777777" w:rsidR="0050193A" w:rsidRPr="0050193A" w:rsidRDefault="2248451C" w:rsidP="000D134F">
            <w:pPr>
              <w:spacing w:after="0"/>
              <w:jc w:val="center"/>
              <w:rPr>
                <w:b/>
                <w:bCs/>
                <w:sz w:val="14"/>
                <w:szCs w:val="14"/>
              </w:rPr>
            </w:pPr>
            <w:r w:rsidRPr="2248451C">
              <w:rPr>
                <w:b/>
                <w:bCs/>
                <w:sz w:val="14"/>
                <w:szCs w:val="14"/>
              </w:rPr>
              <w:t xml:space="preserve">2019. </w:t>
            </w:r>
            <w:r w:rsidR="0050193A">
              <w:br/>
            </w:r>
            <w:r w:rsidRPr="2248451C">
              <w:rPr>
                <w:b/>
                <w:bCs/>
                <w:sz w:val="14"/>
                <w:szCs w:val="14"/>
              </w:rPr>
              <w:t>I-VII. hó</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89C62B" w14:textId="77777777" w:rsidR="0050193A" w:rsidRPr="0050193A" w:rsidRDefault="2248451C" w:rsidP="000D134F">
            <w:pPr>
              <w:spacing w:after="0"/>
              <w:jc w:val="center"/>
              <w:rPr>
                <w:b/>
                <w:bCs/>
                <w:sz w:val="14"/>
                <w:szCs w:val="14"/>
              </w:rPr>
            </w:pPr>
            <w:r w:rsidRPr="2248451C">
              <w:rPr>
                <w:b/>
                <w:bCs/>
                <w:sz w:val="14"/>
                <w:szCs w:val="14"/>
              </w:rPr>
              <w:t>2020.</w:t>
            </w:r>
            <w:r w:rsidR="0050193A">
              <w:br/>
            </w:r>
            <w:r w:rsidRPr="2248451C">
              <w:rPr>
                <w:b/>
                <w:bCs/>
                <w:sz w:val="14"/>
                <w:szCs w:val="14"/>
              </w:rPr>
              <w:t>I-VII. hó</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844EBD" w14:textId="77777777" w:rsidR="0050193A" w:rsidRPr="0050193A" w:rsidRDefault="2248451C" w:rsidP="000D134F">
            <w:pPr>
              <w:spacing w:after="0"/>
              <w:jc w:val="center"/>
              <w:rPr>
                <w:b/>
                <w:bCs/>
                <w:sz w:val="14"/>
                <w:szCs w:val="14"/>
              </w:rPr>
            </w:pPr>
            <w:r w:rsidRPr="2248451C">
              <w:rPr>
                <w:b/>
                <w:bCs/>
                <w:sz w:val="14"/>
                <w:szCs w:val="14"/>
              </w:rPr>
              <w:t>Eltérés</w:t>
            </w:r>
          </w:p>
        </w:tc>
      </w:tr>
      <w:tr w:rsidR="0050193A" w:rsidRPr="0050193A" w14:paraId="2CE82440" w14:textId="77777777" w:rsidTr="000D134F">
        <w:trPr>
          <w:trHeight w:val="225"/>
        </w:trPr>
        <w:tc>
          <w:tcPr>
            <w:tcW w:w="4180" w:type="dxa"/>
            <w:vMerge/>
            <w:tcBorders>
              <w:top w:val="single" w:sz="4" w:space="0" w:color="auto"/>
              <w:left w:val="single" w:sz="4" w:space="0" w:color="auto"/>
              <w:bottom w:val="single" w:sz="4" w:space="0" w:color="000000"/>
              <w:right w:val="single" w:sz="4" w:space="0" w:color="auto"/>
            </w:tcBorders>
            <w:vAlign w:val="center"/>
            <w:hideMark/>
          </w:tcPr>
          <w:p w14:paraId="43394179" w14:textId="77777777" w:rsidR="0050193A" w:rsidRPr="0050193A" w:rsidRDefault="0050193A" w:rsidP="000D134F">
            <w:pPr>
              <w:spacing w:after="0"/>
              <w:jc w:val="left"/>
              <w:rPr>
                <w:b/>
                <w:bCs/>
                <w:sz w:val="14"/>
                <w:szCs w:val="14"/>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0691847F" w14:textId="77777777" w:rsidR="0050193A" w:rsidRPr="0050193A" w:rsidRDefault="0050193A" w:rsidP="000D134F">
            <w:pPr>
              <w:spacing w:after="0"/>
              <w:jc w:val="left"/>
              <w:rPr>
                <w:b/>
                <w:bCs/>
                <w:sz w:val="14"/>
                <w:szCs w:val="1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7949ED5" w14:textId="77777777" w:rsidR="0050193A" w:rsidRPr="0050193A" w:rsidRDefault="0050193A" w:rsidP="000D134F">
            <w:pPr>
              <w:spacing w:after="0"/>
              <w:jc w:val="left"/>
              <w:rPr>
                <w:b/>
                <w:bCs/>
                <w:sz w:val="14"/>
                <w:szCs w:val="14"/>
              </w:rPr>
            </w:pPr>
          </w:p>
        </w:tc>
        <w:tc>
          <w:tcPr>
            <w:tcW w:w="807" w:type="dxa"/>
            <w:tcBorders>
              <w:top w:val="nil"/>
              <w:left w:val="nil"/>
              <w:bottom w:val="single" w:sz="4" w:space="0" w:color="auto"/>
              <w:right w:val="single" w:sz="4" w:space="0" w:color="auto"/>
            </w:tcBorders>
            <w:shd w:val="clear" w:color="auto" w:fill="auto"/>
            <w:noWrap/>
            <w:vAlign w:val="bottom"/>
            <w:hideMark/>
          </w:tcPr>
          <w:p w14:paraId="3B9E08AD" w14:textId="77777777" w:rsidR="0050193A" w:rsidRPr="0050193A" w:rsidRDefault="2248451C" w:rsidP="000D134F">
            <w:pPr>
              <w:spacing w:after="0"/>
              <w:jc w:val="center"/>
              <w:rPr>
                <w:b/>
                <w:bCs/>
                <w:sz w:val="14"/>
                <w:szCs w:val="14"/>
              </w:rPr>
            </w:pPr>
            <w:r w:rsidRPr="2248451C">
              <w:rPr>
                <w:b/>
                <w:bCs/>
                <w:sz w:val="14"/>
                <w:szCs w:val="14"/>
              </w:rPr>
              <w:t>Mrd Ft</w:t>
            </w:r>
          </w:p>
        </w:tc>
        <w:tc>
          <w:tcPr>
            <w:tcW w:w="593" w:type="dxa"/>
            <w:tcBorders>
              <w:top w:val="nil"/>
              <w:left w:val="nil"/>
              <w:bottom w:val="single" w:sz="4" w:space="0" w:color="auto"/>
              <w:right w:val="single" w:sz="4" w:space="0" w:color="auto"/>
            </w:tcBorders>
            <w:shd w:val="clear" w:color="auto" w:fill="auto"/>
            <w:noWrap/>
            <w:vAlign w:val="bottom"/>
            <w:hideMark/>
          </w:tcPr>
          <w:p w14:paraId="38BFB0A3" w14:textId="77777777" w:rsidR="0050193A" w:rsidRPr="0050193A" w:rsidRDefault="2248451C" w:rsidP="000D134F">
            <w:pPr>
              <w:spacing w:after="0"/>
              <w:jc w:val="center"/>
              <w:rPr>
                <w:b/>
                <w:bCs/>
                <w:sz w:val="14"/>
                <w:szCs w:val="14"/>
              </w:rPr>
            </w:pPr>
            <w:r w:rsidRPr="2248451C">
              <w:rPr>
                <w:b/>
                <w:bCs/>
                <w:sz w:val="14"/>
                <w:szCs w:val="14"/>
              </w:rPr>
              <w:t>%</w:t>
            </w:r>
          </w:p>
        </w:tc>
      </w:tr>
      <w:tr w:rsidR="0050193A" w:rsidRPr="0050193A" w14:paraId="502961EB"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0C36638" w14:textId="77777777" w:rsidR="0050193A" w:rsidRPr="0050193A" w:rsidRDefault="2248451C" w:rsidP="000D134F">
            <w:pPr>
              <w:spacing w:after="0"/>
              <w:jc w:val="left"/>
              <w:rPr>
                <w:b/>
                <w:bCs/>
                <w:sz w:val="14"/>
                <w:szCs w:val="14"/>
              </w:rPr>
            </w:pPr>
            <w:r w:rsidRPr="2248451C">
              <w:rPr>
                <w:b/>
                <w:bCs/>
                <w:sz w:val="14"/>
                <w:szCs w:val="14"/>
              </w:rPr>
              <w:t>Családi támogatások</w:t>
            </w:r>
          </w:p>
        </w:tc>
        <w:tc>
          <w:tcPr>
            <w:tcW w:w="980" w:type="dxa"/>
            <w:tcBorders>
              <w:top w:val="nil"/>
              <w:left w:val="nil"/>
              <w:bottom w:val="single" w:sz="4" w:space="0" w:color="auto"/>
              <w:right w:val="single" w:sz="4" w:space="0" w:color="auto"/>
            </w:tcBorders>
            <w:shd w:val="clear" w:color="auto" w:fill="auto"/>
            <w:noWrap/>
            <w:vAlign w:val="bottom"/>
            <w:hideMark/>
          </w:tcPr>
          <w:p w14:paraId="43354A4F" w14:textId="77777777" w:rsidR="0050193A" w:rsidRPr="0050193A" w:rsidRDefault="2248451C" w:rsidP="000D134F">
            <w:pPr>
              <w:spacing w:after="0"/>
              <w:jc w:val="right"/>
              <w:rPr>
                <w:b/>
                <w:bCs/>
                <w:sz w:val="14"/>
                <w:szCs w:val="14"/>
              </w:rPr>
            </w:pPr>
            <w:r w:rsidRPr="2248451C">
              <w:rPr>
                <w:b/>
                <w:bCs/>
                <w:sz w:val="14"/>
                <w:szCs w:val="14"/>
              </w:rPr>
              <w:t>233,8</w:t>
            </w:r>
          </w:p>
        </w:tc>
        <w:tc>
          <w:tcPr>
            <w:tcW w:w="960" w:type="dxa"/>
            <w:tcBorders>
              <w:top w:val="nil"/>
              <w:left w:val="nil"/>
              <w:bottom w:val="single" w:sz="4" w:space="0" w:color="auto"/>
              <w:right w:val="single" w:sz="4" w:space="0" w:color="auto"/>
            </w:tcBorders>
            <w:shd w:val="clear" w:color="auto" w:fill="auto"/>
            <w:noWrap/>
            <w:vAlign w:val="bottom"/>
            <w:hideMark/>
          </w:tcPr>
          <w:p w14:paraId="6E709BFA" w14:textId="77777777" w:rsidR="0050193A" w:rsidRPr="0050193A" w:rsidRDefault="2248451C" w:rsidP="000D134F">
            <w:pPr>
              <w:spacing w:after="0"/>
              <w:jc w:val="right"/>
              <w:rPr>
                <w:b/>
                <w:bCs/>
                <w:sz w:val="14"/>
                <w:szCs w:val="14"/>
              </w:rPr>
            </w:pPr>
            <w:r w:rsidRPr="2248451C">
              <w:rPr>
                <w:b/>
                <w:bCs/>
                <w:sz w:val="14"/>
                <w:szCs w:val="14"/>
              </w:rPr>
              <w:t>235,1</w:t>
            </w:r>
          </w:p>
        </w:tc>
        <w:tc>
          <w:tcPr>
            <w:tcW w:w="807" w:type="dxa"/>
            <w:tcBorders>
              <w:top w:val="nil"/>
              <w:left w:val="nil"/>
              <w:bottom w:val="single" w:sz="4" w:space="0" w:color="auto"/>
              <w:right w:val="single" w:sz="4" w:space="0" w:color="auto"/>
            </w:tcBorders>
            <w:shd w:val="clear" w:color="auto" w:fill="auto"/>
            <w:noWrap/>
            <w:vAlign w:val="bottom"/>
            <w:hideMark/>
          </w:tcPr>
          <w:p w14:paraId="711CB982" w14:textId="77777777" w:rsidR="0050193A" w:rsidRPr="0050193A" w:rsidRDefault="2248451C" w:rsidP="000D134F">
            <w:pPr>
              <w:spacing w:after="0"/>
              <w:jc w:val="right"/>
              <w:rPr>
                <w:b/>
                <w:bCs/>
                <w:sz w:val="14"/>
                <w:szCs w:val="14"/>
              </w:rPr>
            </w:pPr>
            <w:r w:rsidRPr="2248451C">
              <w:rPr>
                <w:b/>
                <w:bCs/>
                <w:sz w:val="14"/>
                <w:szCs w:val="14"/>
              </w:rPr>
              <w:t>1,3</w:t>
            </w:r>
          </w:p>
        </w:tc>
        <w:tc>
          <w:tcPr>
            <w:tcW w:w="593" w:type="dxa"/>
            <w:tcBorders>
              <w:top w:val="nil"/>
              <w:left w:val="nil"/>
              <w:bottom w:val="single" w:sz="4" w:space="0" w:color="auto"/>
              <w:right w:val="single" w:sz="4" w:space="0" w:color="auto"/>
            </w:tcBorders>
            <w:shd w:val="clear" w:color="auto" w:fill="auto"/>
            <w:noWrap/>
            <w:vAlign w:val="bottom"/>
            <w:hideMark/>
          </w:tcPr>
          <w:p w14:paraId="76059B72" w14:textId="77777777" w:rsidR="0050193A" w:rsidRPr="0050193A" w:rsidRDefault="2248451C" w:rsidP="000D134F">
            <w:pPr>
              <w:spacing w:after="0"/>
              <w:jc w:val="right"/>
              <w:rPr>
                <w:b/>
                <w:bCs/>
                <w:sz w:val="14"/>
                <w:szCs w:val="14"/>
              </w:rPr>
            </w:pPr>
            <w:r w:rsidRPr="2248451C">
              <w:rPr>
                <w:b/>
                <w:bCs/>
                <w:sz w:val="14"/>
                <w:szCs w:val="14"/>
              </w:rPr>
              <w:t>100,6</w:t>
            </w:r>
          </w:p>
        </w:tc>
      </w:tr>
      <w:tr w:rsidR="0050193A" w:rsidRPr="0050193A" w14:paraId="3775E2EA"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E9E57CD" w14:textId="77777777" w:rsidR="0050193A" w:rsidRPr="0050193A" w:rsidRDefault="2248451C" w:rsidP="000D134F">
            <w:pPr>
              <w:spacing w:after="0"/>
              <w:ind w:firstLineChars="100" w:firstLine="140"/>
              <w:jc w:val="left"/>
              <w:rPr>
                <w:i/>
                <w:iCs/>
                <w:sz w:val="14"/>
                <w:szCs w:val="14"/>
              </w:rPr>
            </w:pPr>
            <w:r w:rsidRPr="2248451C">
              <w:rPr>
                <w:i/>
                <w:iCs/>
                <w:sz w:val="14"/>
                <w:szCs w:val="14"/>
              </w:rPr>
              <w:t>Ebből:</w:t>
            </w:r>
          </w:p>
        </w:tc>
        <w:tc>
          <w:tcPr>
            <w:tcW w:w="980" w:type="dxa"/>
            <w:tcBorders>
              <w:top w:val="nil"/>
              <w:left w:val="nil"/>
              <w:bottom w:val="single" w:sz="4" w:space="0" w:color="auto"/>
              <w:right w:val="single" w:sz="4" w:space="0" w:color="auto"/>
            </w:tcBorders>
            <w:shd w:val="clear" w:color="auto" w:fill="auto"/>
            <w:noWrap/>
            <w:vAlign w:val="bottom"/>
            <w:hideMark/>
          </w:tcPr>
          <w:p w14:paraId="7B9B2EBB" w14:textId="77777777" w:rsidR="0050193A" w:rsidRPr="0050193A" w:rsidRDefault="2248451C" w:rsidP="000D134F">
            <w:pPr>
              <w:spacing w:after="0"/>
              <w:jc w:val="right"/>
              <w:rPr>
                <w:sz w:val="14"/>
                <w:szCs w:val="14"/>
              </w:rPr>
            </w:pPr>
            <w:r w:rsidRPr="2248451C">
              <w:rPr>
                <w:sz w:val="14"/>
                <w:szCs w:val="14"/>
              </w:rPr>
              <w:t> </w:t>
            </w:r>
          </w:p>
        </w:tc>
        <w:tc>
          <w:tcPr>
            <w:tcW w:w="960" w:type="dxa"/>
            <w:tcBorders>
              <w:top w:val="nil"/>
              <w:left w:val="nil"/>
              <w:bottom w:val="single" w:sz="4" w:space="0" w:color="auto"/>
              <w:right w:val="single" w:sz="4" w:space="0" w:color="auto"/>
            </w:tcBorders>
            <w:shd w:val="clear" w:color="auto" w:fill="auto"/>
            <w:noWrap/>
            <w:vAlign w:val="bottom"/>
            <w:hideMark/>
          </w:tcPr>
          <w:p w14:paraId="0B5CC548" w14:textId="77777777" w:rsidR="0050193A" w:rsidRPr="0050193A" w:rsidRDefault="2248451C" w:rsidP="000D134F">
            <w:pPr>
              <w:spacing w:after="0"/>
              <w:jc w:val="right"/>
              <w:rPr>
                <w:sz w:val="14"/>
                <w:szCs w:val="14"/>
              </w:rPr>
            </w:pPr>
            <w:r w:rsidRPr="2248451C">
              <w:rPr>
                <w:sz w:val="14"/>
                <w:szCs w:val="14"/>
              </w:rPr>
              <w:t> </w:t>
            </w:r>
          </w:p>
        </w:tc>
        <w:tc>
          <w:tcPr>
            <w:tcW w:w="807" w:type="dxa"/>
            <w:tcBorders>
              <w:top w:val="nil"/>
              <w:left w:val="nil"/>
              <w:bottom w:val="single" w:sz="4" w:space="0" w:color="auto"/>
              <w:right w:val="single" w:sz="4" w:space="0" w:color="auto"/>
            </w:tcBorders>
            <w:shd w:val="clear" w:color="auto" w:fill="auto"/>
            <w:noWrap/>
            <w:vAlign w:val="bottom"/>
            <w:hideMark/>
          </w:tcPr>
          <w:p w14:paraId="01090CB0" w14:textId="77777777" w:rsidR="0050193A" w:rsidRPr="0050193A" w:rsidRDefault="2248451C" w:rsidP="000D134F">
            <w:pPr>
              <w:spacing w:after="0"/>
              <w:jc w:val="right"/>
              <w:rPr>
                <w:sz w:val="14"/>
                <w:szCs w:val="14"/>
              </w:rPr>
            </w:pPr>
            <w:r w:rsidRPr="2248451C">
              <w:rPr>
                <w:sz w:val="14"/>
                <w:szCs w:val="14"/>
              </w:rPr>
              <w:t> </w:t>
            </w:r>
          </w:p>
        </w:tc>
        <w:tc>
          <w:tcPr>
            <w:tcW w:w="593" w:type="dxa"/>
            <w:tcBorders>
              <w:top w:val="nil"/>
              <w:left w:val="nil"/>
              <w:bottom w:val="single" w:sz="4" w:space="0" w:color="auto"/>
              <w:right w:val="single" w:sz="4" w:space="0" w:color="auto"/>
            </w:tcBorders>
            <w:shd w:val="clear" w:color="auto" w:fill="auto"/>
            <w:noWrap/>
            <w:vAlign w:val="bottom"/>
            <w:hideMark/>
          </w:tcPr>
          <w:p w14:paraId="533871E3" w14:textId="77777777" w:rsidR="0050193A" w:rsidRPr="0050193A" w:rsidRDefault="2248451C" w:rsidP="000D134F">
            <w:pPr>
              <w:spacing w:after="0"/>
              <w:jc w:val="right"/>
              <w:rPr>
                <w:sz w:val="14"/>
                <w:szCs w:val="14"/>
              </w:rPr>
            </w:pPr>
            <w:r w:rsidRPr="2248451C">
              <w:rPr>
                <w:sz w:val="14"/>
                <w:szCs w:val="14"/>
              </w:rPr>
              <w:t> </w:t>
            </w:r>
          </w:p>
        </w:tc>
      </w:tr>
      <w:tr w:rsidR="0050193A" w:rsidRPr="0050193A" w14:paraId="39164E40"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408EFAF5" w14:textId="77777777" w:rsidR="0050193A" w:rsidRPr="0050193A" w:rsidRDefault="2248451C" w:rsidP="000D134F">
            <w:pPr>
              <w:spacing w:after="0"/>
              <w:ind w:firstLineChars="400" w:firstLine="560"/>
              <w:jc w:val="left"/>
              <w:rPr>
                <w:i/>
                <w:iCs/>
                <w:sz w:val="14"/>
                <w:szCs w:val="14"/>
              </w:rPr>
            </w:pPr>
            <w:r w:rsidRPr="2248451C">
              <w:rPr>
                <w:i/>
                <w:iCs/>
                <w:sz w:val="14"/>
                <w:szCs w:val="14"/>
              </w:rPr>
              <w:t>családi pótlék</w:t>
            </w:r>
          </w:p>
        </w:tc>
        <w:tc>
          <w:tcPr>
            <w:tcW w:w="980" w:type="dxa"/>
            <w:tcBorders>
              <w:top w:val="nil"/>
              <w:left w:val="nil"/>
              <w:bottom w:val="single" w:sz="4" w:space="0" w:color="auto"/>
              <w:right w:val="single" w:sz="4" w:space="0" w:color="auto"/>
            </w:tcBorders>
            <w:shd w:val="clear" w:color="auto" w:fill="auto"/>
            <w:noWrap/>
            <w:vAlign w:val="bottom"/>
            <w:hideMark/>
          </w:tcPr>
          <w:p w14:paraId="483E5B93" w14:textId="77777777" w:rsidR="0050193A" w:rsidRPr="0050193A" w:rsidRDefault="2248451C" w:rsidP="000D134F">
            <w:pPr>
              <w:spacing w:after="0"/>
              <w:jc w:val="right"/>
              <w:rPr>
                <w:sz w:val="14"/>
                <w:szCs w:val="14"/>
              </w:rPr>
            </w:pPr>
            <w:r w:rsidRPr="2248451C">
              <w:rPr>
                <w:sz w:val="14"/>
                <w:szCs w:val="14"/>
              </w:rPr>
              <w:t>182,6</w:t>
            </w:r>
          </w:p>
        </w:tc>
        <w:tc>
          <w:tcPr>
            <w:tcW w:w="960" w:type="dxa"/>
            <w:tcBorders>
              <w:top w:val="nil"/>
              <w:left w:val="nil"/>
              <w:bottom w:val="single" w:sz="4" w:space="0" w:color="auto"/>
              <w:right w:val="single" w:sz="4" w:space="0" w:color="auto"/>
            </w:tcBorders>
            <w:shd w:val="clear" w:color="auto" w:fill="auto"/>
            <w:noWrap/>
            <w:vAlign w:val="bottom"/>
            <w:hideMark/>
          </w:tcPr>
          <w:p w14:paraId="1B4BF6B0" w14:textId="77777777" w:rsidR="0050193A" w:rsidRPr="0050193A" w:rsidRDefault="2248451C" w:rsidP="000D134F">
            <w:pPr>
              <w:spacing w:after="0"/>
              <w:jc w:val="right"/>
              <w:rPr>
                <w:sz w:val="14"/>
                <w:szCs w:val="14"/>
              </w:rPr>
            </w:pPr>
            <w:r w:rsidRPr="2248451C">
              <w:rPr>
                <w:sz w:val="14"/>
                <w:szCs w:val="14"/>
              </w:rPr>
              <w:t>181,6</w:t>
            </w:r>
          </w:p>
        </w:tc>
        <w:tc>
          <w:tcPr>
            <w:tcW w:w="807" w:type="dxa"/>
            <w:tcBorders>
              <w:top w:val="nil"/>
              <w:left w:val="nil"/>
              <w:bottom w:val="single" w:sz="4" w:space="0" w:color="auto"/>
              <w:right w:val="single" w:sz="4" w:space="0" w:color="auto"/>
            </w:tcBorders>
            <w:shd w:val="clear" w:color="auto" w:fill="auto"/>
            <w:noWrap/>
            <w:vAlign w:val="bottom"/>
            <w:hideMark/>
          </w:tcPr>
          <w:p w14:paraId="4C438113" w14:textId="77777777" w:rsidR="0050193A" w:rsidRPr="0050193A" w:rsidRDefault="2248451C" w:rsidP="000D134F">
            <w:pPr>
              <w:spacing w:after="0"/>
              <w:jc w:val="right"/>
              <w:rPr>
                <w:sz w:val="14"/>
                <w:szCs w:val="14"/>
              </w:rPr>
            </w:pPr>
            <w:r w:rsidRPr="2248451C">
              <w:rPr>
                <w:sz w:val="14"/>
                <w:szCs w:val="14"/>
              </w:rPr>
              <w:t>-1,0</w:t>
            </w:r>
          </w:p>
        </w:tc>
        <w:tc>
          <w:tcPr>
            <w:tcW w:w="593" w:type="dxa"/>
            <w:tcBorders>
              <w:top w:val="nil"/>
              <w:left w:val="nil"/>
              <w:bottom w:val="single" w:sz="4" w:space="0" w:color="auto"/>
              <w:right w:val="single" w:sz="4" w:space="0" w:color="auto"/>
            </w:tcBorders>
            <w:shd w:val="clear" w:color="auto" w:fill="auto"/>
            <w:noWrap/>
            <w:vAlign w:val="bottom"/>
            <w:hideMark/>
          </w:tcPr>
          <w:p w14:paraId="54BB8626" w14:textId="77777777" w:rsidR="0050193A" w:rsidRPr="0050193A" w:rsidRDefault="2248451C" w:rsidP="000D134F">
            <w:pPr>
              <w:spacing w:after="0"/>
              <w:jc w:val="right"/>
              <w:rPr>
                <w:sz w:val="14"/>
                <w:szCs w:val="14"/>
              </w:rPr>
            </w:pPr>
            <w:r w:rsidRPr="2248451C">
              <w:rPr>
                <w:sz w:val="14"/>
                <w:szCs w:val="14"/>
              </w:rPr>
              <w:t>99,5</w:t>
            </w:r>
          </w:p>
        </w:tc>
      </w:tr>
      <w:tr w:rsidR="0050193A" w:rsidRPr="0050193A" w14:paraId="73D823D5"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C4BD0D" w14:textId="77777777" w:rsidR="0050193A" w:rsidRPr="0050193A" w:rsidRDefault="2248451C" w:rsidP="000D134F">
            <w:pPr>
              <w:spacing w:after="0"/>
              <w:ind w:firstLineChars="400" w:firstLine="560"/>
              <w:jc w:val="left"/>
              <w:rPr>
                <w:i/>
                <w:iCs/>
                <w:sz w:val="14"/>
                <w:szCs w:val="14"/>
              </w:rPr>
            </w:pPr>
            <w:r w:rsidRPr="2248451C">
              <w:rPr>
                <w:i/>
                <w:iCs/>
                <w:sz w:val="14"/>
                <w:szCs w:val="14"/>
              </w:rPr>
              <w:t>gyermekgondozást segítő ellátás</w:t>
            </w:r>
          </w:p>
        </w:tc>
        <w:tc>
          <w:tcPr>
            <w:tcW w:w="980" w:type="dxa"/>
            <w:tcBorders>
              <w:top w:val="nil"/>
              <w:left w:val="nil"/>
              <w:bottom w:val="single" w:sz="4" w:space="0" w:color="auto"/>
              <w:right w:val="single" w:sz="4" w:space="0" w:color="auto"/>
            </w:tcBorders>
            <w:shd w:val="clear" w:color="auto" w:fill="auto"/>
            <w:noWrap/>
            <w:vAlign w:val="bottom"/>
            <w:hideMark/>
          </w:tcPr>
          <w:p w14:paraId="4195605B" w14:textId="77777777" w:rsidR="0050193A" w:rsidRPr="0050193A" w:rsidRDefault="2248451C" w:rsidP="000D134F">
            <w:pPr>
              <w:spacing w:after="0"/>
              <w:jc w:val="right"/>
              <w:rPr>
                <w:sz w:val="14"/>
                <w:szCs w:val="14"/>
              </w:rPr>
            </w:pPr>
            <w:r w:rsidRPr="2248451C">
              <w:rPr>
                <w:sz w:val="14"/>
                <w:szCs w:val="14"/>
              </w:rPr>
              <w:t>33,9</w:t>
            </w:r>
          </w:p>
        </w:tc>
        <w:tc>
          <w:tcPr>
            <w:tcW w:w="960" w:type="dxa"/>
            <w:tcBorders>
              <w:top w:val="nil"/>
              <w:left w:val="nil"/>
              <w:bottom w:val="single" w:sz="4" w:space="0" w:color="auto"/>
              <w:right w:val="single" w:sz="4" w:space="0" w:color="auto"/>
            </w:tcBorders>
            <w:shd w:val="clear" w:color="auto" w:fill="auto"/>
            <w:noWrap/>
            <w:vAlign w:val="bottom"/>
            <w:hideMark/>
          </w:tcPr>
          <w:p w14:paraId="1A9E6B96" w14:textId="77777777" w:rsidR="0050193A" w:rsidRPr="0050193A" w:rsidRDefault="2248451C" w:rsidP="000D134F">
            <w:pPr>
              <w:spacing w:after="0"/>
              <w:jc w:val="right"/>
              <w:rPr>
                <w:sz w:val="14"/>
                <w:szCs w:val="14"/>
              </w:rPr>
            </w:pPr>
            <w:r w:rsidRPr="2248451C">
              <w:rPr>
                <w:sz w:val="14"/>
                <w:szCs w:val="14"/>
              </w:rPr>
              <w:t>34,2</w:t>
            </w:r>
          </w:p>
        </w:tc>
        <w:tc>
          <w:tcPr>
            <w:tcW w:w="807" w:type="dxa"/>
            <w:tcBorders>
              <w:top w:val="nil"/>
              <w:left w:val="nil"/>
              <w:bottom w:val="single" w:sz="4" w:space="0" w:color="auto"/>
              <w:right w:val="single" w:sz="4" w:space="0" w:color="auto"/>
            </w:tcBorders>
            <w:shd w:val="clear" w:color="auto" w:fill="auto"/>
            <w:noWrap/>
            <w:vAlign w:val="bottom"/>
            <w:hideMark/>
          </w:tcPr>
          <w:p w14:paraId="4A921BE1" w14:textId="77777777" w:rsidR="0050193A" w:rsidRPr="0050193A" w:rsidRDefault="2248451C" w:rsidP="000D134F">
            <w:pPr>
              <w:spacing w:after="0"/>
              <w:jc w:val="right"/>
              <w:rPr>
                <w:sz w:val="14"/>
                <w:szCs w:val="14"/>
              </w:rPr>
            </w:pPr>
            <w:r w:rsidRPr="2248451C">
              <w:rPr>
                <w:sz w:val="14"/>
                <w:szCs w:val="14"/>
              </w:rPr>
              <w:t>0,3</w:t>
            </w:r>
          </w:p>
        </w:tc>
        <w:tc>
          <w:tcPr>
            <w:tcW w:w="593" w:type="dxa"/>
            <w:tcBorders>
              <w:top w:val="nil"/>
              <w:left w:val="nil"/>
              <w:bottom w:val="single" w:sz="4" w:space="0" w:color="auto"/>
              <w:right w:val="single" w:sz="4" w:space="0" w:color="auto"/>
            </w:tcBorders>
            <w:shd w:val="clear" w:color="auto" w:fill="auto"/>
            <w:noWrap/>
            <w:vAlign w:val="bottom"/>
            <w:hideMark/>
          </w:tcPr>
          <w:p w14:paraId="62445E07" w14:textId="77777777" w:rsidR="0050193A" w:rsidRPr="0050193A" w:rsidRDefault="2248451C" w:rsidP="000D134F">
            <w:pPr>
              <w:spacing w:after="0"/>
              <w:jc w:val="right"/>
              <w:rPr>
                <w:sz w:val="14"/>
                <w:szCs w:val="14"/>
              </w:rPr>
            </w:pPr>
            <w:r w:rsidRPr="2248451C">
              <w:rPr>
                <w:sz w:val="14"/>
                <w:szCs w:val="14"/>
              </w:rPr>
              <w:t>100,9</w:t>
            </w:r>
          </w:p>
        </w:tc>
      </w:tr>
      <w:tr w:rsidR="0050193A" w:rsidRPr="0050193A" w14:paraId="0FE5A588"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5E394CB" w14:textId="77777777" w:rsidR="0050193A" w:rsidRPr="0050193A" w:rsidRDefault="2248451C" w:rsidP="000D134F">
            <w:pPr>
              <w:spacing w:after="0"/>
              <w:ind w:firstLineChars="400" w:firstLine="560"/>
              <w:jc w:val="left"/>
              <w:rPr>
                <w:i/>
                <w:iCs/>
                <w:sz w:val="14"/>
                <w:szCs w:val="14"/>
              </w:rPr>
            </w:pPr>
            <w:r w:rsidRPr="2248451C">
              <w:rPr>
                <w:i/>
                <w:iCs/>
                <w:sz w:val="14"/>
                <w:szCs w:val="14"/>
              </w:rPr>
              <w:t>gyermeknevelési támogatás</w:t>
            </w:r>
          </w:p>
        </w:tc>
        <w:tc>
          <w:tcPr>
            <w:tcW w:w="980" w:type="dxa"/>
            <w:tcBorders>
              <w:top w:val="nil"/>
              <w:left w:val="nil"/>
              <w:bottom w:val="single" w:sz="4" w:space="0" w:color="auto"/>
              <w:right w:val="single" w:sz="4" w:space="0" w:color="auto"/>
            </w:tcBorders>
            <w:shd w:val="clear" w:color="auto" w:fill="auto"/>
            <w:noWrap/>
            <w:vAlign w:val="bottom"/>
            <w:hideMark/>
          </w:tcPr>
          <w:p w14:paraId="46D017AC" w14:textId="77777777" w:rsidR="0050193A" w:rsidRPr="0050193A" w:rsidRDefault="2248451C" w:rsidP="000D134F">
            <w:pPr>
              <w:spacing w:after="0"/>
              <w:jc w:val="right"/>
              <w:rPr>
                <w:sz w:val="14"/>
                <w:szCs w:val="14"/>
              </w:rPr>
            </w:pPr>
            <w:r w:rsidRPr="2248451C">
              <w:rPr>
                <w:sz w:val="14"/>
                <w:szCs w:val="14"/>
              </w:rPr>
              <w:t>6,4</w:t>
            </w:r>
          </w:p>
        </w:tc>
        <w:tc>
          <w:tcPr>
            <w:tcW w:w="960" w:type="dxa"/>
            <w:tcBorders>
              <w:top w:val="nil"/>
              <w:left w:val="nil"/>
              <w:bottom w:val="single" w:sz="4" w:space="0" w:color="auto"/>
              <w:right w:val="single" w:sz="4" w:space="0" w:color="auto"/>
            </w:tcBorders>
            <w:shd w:val="clear" w:color="auto" w:fill="auto"/>
            <w:noWrap/>
            <w:vAlign w:val="bottom"/>
            <w:hideMark/>
          </w:tcPr>
          <w:p w14:paraId="3828F8DA" w14:textId="77777777" w:rsidR="0050193A" w:rsidRPr="0050193A" w:rsidRDefault="2248451C" w:rsidP="000D134F">
            <w:pPr>
              <w:spacing w:after="0"/>
              <w:jc w:val="right"/>
              <w:rPr>
                <w:sz w:val="14"/>
                <w:szCs w:val="14"/>
              </w:rPr>
            </w:pPr>
            <w:r w:rsidRPr="2248451C">
              <w:rPr>
                <w:sz w:val="14"/>
                <w:szCs w:val="14"/>
              </w:rPr>
              <w:t>6,8</w:t>
            </w:r>
          </w:p>
        </w:tc>
        <w:tc>
          <w:tcPr>
            <w:tcW w:w="807" w:type="dxa"/>
            <w:tcBorders>
              <w:top w:val="nil"/>
              <w:left w:val="nil"/>
              <w:bottom w:val="single" w:sz="4" w:space="0" w:color="auto"/>
              <w:right w:val="single" w:sz="4" w:space="0" w:color="auto"/>
            </w:tcBorders>
            <w:shd w:val="clear" w:color="auto" w:fill="auto"/>
            <w:noWrap/>
            <w:vAlign w:val="bottom"/>
            <w:hideMark/>
          </w:tcPr>
          <w:p w14:paraId="16DF9518" w14:textId="77777777" w:rsidR="0050193A" w:rsidRPr="0050193A" w:rsidRDefault="2248451C" w:rsidP="000D134F">
            <w:pPr>
              <w:spacing w:after="0"/>
              <w:jc w:val="right"/>
              <w:rPr>
                <w:sz w:val="14"/>
                <w:szCs w:val="14"/>
              </w:rPr>
            </w:pPr>
            <w:r w:rsidRPr="2248451C">
              <w:rPr>
                <w:sz w:val="14"/>
                <w:szCs w:val="14"/>
              </w:rPr>
              <w:t>0,4</w:t>
            </w:r>
          </w:p>
        </w:tc>
        <w:tc>
          <w:tcPr>
            <w:tcW w:w="593" w:type="dxa"/>
            <w:tcBorders>
              <w:top w:val="nil"/>
              <w:left w:val="nil"/>
              <w:bottom w:val="single" w:sz="4" w:space="0" w:color="auto"/>
              <w:right w:val="single" w:sz="4" w:space="0" w:color="auto"/>
            </w:tcBorders>
            <w:shd w:val="clear" w:color="auto" w:fill="auto"/>
            <w:noWrap/>
            <w:vAlign w:val="bottom"/>
            <w:hideMark/>
          </w:tcPr>
          <w:p w14:paraId="1A6781A7" w14:textId="77777777" w:rsidR="0050193A" w:rsidRPr="0050193A" w:rsidRDefault="2248451C" w:rsidP="000D134F">
            <w:pPr>
              <w:spacing w:after="0"/>
              <w:jc w:val="right"/>
              <w:rPr>
                <w:sz w:val="14"/>
                <w:szCs w:val="14"/>
              </w:rPr>
            </w:pPr>
            <w:r w:rsidRPr="2248451C">
              <w:rPr>
                <w:sz w:val="14"/>
                <w:szCs w:val="14"/>
              </w:rPr>
              <w:t>106,3</w:t>
            </w:r>
          </w:p>
        </w:tc>
      </w:tr>
      <w:tr w:rsidR="0050193A" w:rsidRPr="0050193A" w14:paraId="192248B8"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80C1F48" w14:textId="77777777" w:rsidR="0050193A" w:rsidRPr="0050193A" w:rsidRDefault="2248451C" w:rsidP="000D134F">
            <w:pPr>
              <w:spacing w:after="0"/>
              <w:ind w:firstLineChars="400" w:firstLine="560"/>
              <w:jc w:val="left"/>
              <w:rPr>
                <w:i/>
                <w:iCs/>
                <w:sz w:val="14"/>
                <w:szCs w:val="14"/>
              </w:rPr>
            </w:pPr>
            <w:r w:rsidRPr="2248451C">
              <w:rPr>
                <w:i/>
                <w:iCs/>
                <w:sz w:val="14"/>
                <w:szCs w:val="14"/>
              </w:rPr>
              <w:t>életkezdési támogatás</w:t>
            </w:r>
          </w:p>
        </w:tc>
        <w:tc>
          <w:tcPr>
            <w:tcW w:w="980" w:type="dxa"/>
            <w:tcBorders>
              <w:top w:val="nil"/>
              <w:left w:val="nil"/>
              <w:bottom w:val="single" w:sz="4" w:space="0" w:color="auto"/>
              <w:right w:val="single" w:sz="4" w:space="0" w:color="auto"/>
            </w:tcBorders>
            <w:shd w:val="clear" w:color="auto" w:fill="auto"/>
            <w:noWrap/>
            <w:vAlign w:val="bottom"/>
            <w:hideMark/>
          </w:tcPr>
          <w:p w14:paraId="0418F4F0" w14:textId="77777777" w:rsidR="0050193A" w:rsidRPr="0050193A" w:rsidRDefault="2248451C" w:rsidP="000D134F">
            <w:pPr>
              <w:spacing w:after="0"/>
              <w:jc w:val="right"/>
              <w:rPr>
                <w:sz w:val="14"/>
                <w:szCs w:val="14"/>
              </w:rPr>
            </w:pPr>
            <w:r w:rsidRPr="2248451C">
              <w:rPr>
                <w:sz w:val="14"/>
                <w:szCs w:val="14"/>
              </w:rPr>
              <w:t>5,1</w:t>
            </w:r>
          </w:p>
        </w:tc>
        <w:tc>
          <w:tcPr>
            <w:tcW w:w="960" w:type="dxa"/>
            <w:tcBorders>
              <w:top w:val="nil"/>
              <w:left w:val="nil"/>
              <w:bottom w:val="single" w:sz="4" w:space="0" w:color="auto"/>
              <w:right w:val="single" w:sz="4" w:space="0" w:color="auto"/>
            </w:tcBorders>
            <w:shd w:val="clear" w:color="auto" w:fill="auto"/>
            <w:noWrap/>
            <w:vAlign w:val="bottom"/>
            <w:hideMark/>
          </w:tcPr>
          <w:p w14:paraId="4C793E54" w14:textId="77777777" w:rsidR="0050193A" w:rsidRPr="0050193A" w:rsidRDefault="2248451C" w:rsidP="000D134F">
            <w:pPr>
              <w:spacing w:after="0"/>
              <w:jc w:val="right"/>
              <w:rPr>
                <w:sz w:val="14"/>
                <w:szCs w:val="14"/>
              </w:rPr>
            </w:pPr>
            <w:r w:rsidRPr="2248451C">
              <w:rPr>
                <w:sz w:val="14"/>
                <w:szCs w:val="14"/>
              </w:rPr>
              <w:t>6,0</w:t>
            </w:r>
          </w:p>
        </w:tc>
        <w:tc>
          <w:tcPr>
            <w:tcW w:w="807" w:type="dxa"/>
            <w:tcBorders>
              <w:top w:val="nil"/>
              <w:left w:val="nil"/>
              <w:bottom w:val="single" w:sz="4" w:space="0" w:color="auto"/>
              <w:right w:val="single" w:sz="4" w:space="0" w:color="auto"/>
            </w:tcBorders>
            <w:shd w:val="clear" w:color="auto" w:fill="auto"/>
            <w:noWrap/>
            <w:vAlign w:val="bottom"/>
            <w:hideMark/>
          </w:tcPr>
          <w:p w14:paraId="6258FD9F" w14:textId="77777777" w:rsidR="0050193A" w:rsidRPr="0050193A" w:rsidRDefault="2248451C" w:rsidP="000D134F">
            <w:pPr>
              <w:spacing w:after="0"/>
              <w:jc w:val="right"/>
              <w:rPr>
                <w:sz w:val="14"/>
                <w:szCs w:val="14"/>
              </w:rPr>
            </w:pPr>
            <w:r w:rsidRPr="2248451C">
              <w:rPr>
                <w:sz w:val="14"/>
                <w:szCs w:val="14"/>
              </w:rPr>
              <w:t>0,9</w:t>
            </w:r>
          </w:p>
        </w:tc>
        <w:tc>
          <w:tcPr>
            <w:tcW w:w="593" w:type="dxa"/>
            <w:tcBorders>
              <w:top w:val="nil"/>
              <w:left w:val="nil"/>
              <w:bottom w:val="single" w:sz="4" w:space="0" w:color="auto"/>
              <w:right w:val="single" w:sz="4" w:space="0" w:color="auto"/>
            </w:tcBorders>
            <w:shd w:val="clear" w:color="auto" w:fill="auto"/>
            <w:noWrap/>
            <w:vAlign w:val="bottom"/>
            <w:hideMark/>
          </w:tcPr>
          <w:p w14:paraId="0B06A630" w14:textId="77777777" w:rsidR="0050193A" w:rsidRPr="0050193A" w:rsidRDefault="2248451C" w:rsidP="000D134F">
            <w:pPr>
              <w:spacing w:after="0"/>
              <w:jc w:val="right"/>
              <w:rPr>
                <w:sz w:val="14"/>
                <w:szCs w:val="14"/>
              </w:rPr>
            </w:pPr>
            <w:r w:rsidRPr="2248451C">
              <w:rPr>
                <w:sz w:val="14"/>
                <w:szCs w:val="14"/>
              </w:rPr>
              <w:t>117,6</w:t>
            </w:r>
          </w:p>
        </w:tc>
      </w:tr>
      <w:tr w:rsidR="0050193A" w:rsidRPr="0050193A" w14:paraId="3DB08E0B"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34C870C" w14:textId="77777777" w:rsidR="0050193A" w:rsidRPr="0050193A" w:rsidRDefault="2248451C" w:rsidP="000D134F">
            <w:pPr>
              <w:spacing w:after="0"/>
              <w:jc w:val="left"/>
              <w:rPr>
                <w:b/>
                <w:bCs/>
                <w:sz w:val="14"/>
                <w:szCs w:val="14"/>
              </w:rPr>
            </w:pPr>
            <w:r w:rsidRPr="2248451C">
              <w:rPr>
                <w:b/>
                <w:bCs/>
                <w:sz w:val="14"/>
                <w:szCs w:val="14"/>
              </w:rPr>
              <w:t>Korhatár alatti ellátások</w:t>
            </w:r>
          </w:p>
        </w:tc>
        <w:tc>
          <w:tcPr>
            <w:tcW w:w="980" w:type="dxa"/>
            <w:tcBorders>
              <w:top w:val="nil"/>
              <w:left w:val="nil"/>
              <w:bottom w:val="single" w:sz="4" w:space="0" w:color="auto"/>
              <w:right w:val="single" w:sz="4" w:space="0" w:color="auto"/>
            </w:tcBorders>
            <w:shd w:val="clear" w:color="auto" w:fill="auto"/>
            <w:noWrap/>
            <w:vAlign w:val="bottom"/>
            <w:hideMark/>
          </w:tcPr>
          <w:p w14:paraId="39E5A6C9" w14:textId="77777777" w:rsidR="0050193A" w:rsidRPr="0050193A" w:rsidRDefault="2248451C" w:rsidP="000D134F">
            <w:pPr>
              <w:spacing w:after="0"/>
              <w:jc w:val="right"/>
              <w:rPr>
                <w:b/>
                <w:bCs/>
                <w:sz w:val="14"/>
                <w:szCs w:val="14"/>
              </w:rPr>
            </w:pPr>
            <w:r w:rsidRPr="2248451C">
              <w:rPr>
                <w:b/>
                <w:bCs/>
                <w:sz w:val="14"/>
                <w:szCs w:val="14"/>
              </w:rPr>
              <w:t>54,2</w:t>
            </w:r>
          </w:p>
        </w:tc>
        <w:tc>
          <w:tcPr>
            <w:tcW w:w="960" w:type="dxa"/>
            <w:tcBorders>
              <w:top w:val="nil"/>
              <w:left w:val="nil"/>
              <w:bottom w:val="single" w:sz="4" w:space="0" w:color="auto"/>
              <w:right w:val="single" w:sz="4" w:space="0" w:color="auto"/>
            </w:tcBorders>
            <w:shd w:val="clear" w:color="auto" w:fill="auto"/>
            <w:noWrap/>
            <w:vAlign w:val="bottom"/>
            <w:hideMark/>
          </w:tcPr>
          <w:p w14:paraId="3A3C352D" w14:textId="77777777" w:rsidR="0050193A" w:rsidRPr="0050193A" w:rsidRDefault="2248451C" w:rsidP="000D134F">
            <w:pPr>
              <w:spacing w:after="0"/>
              <w:jc w:val="right"/>
              <w:rPr>
                <w:b/>
                <w:bCs/>
                <w:sz w:val="14"/>
                <w:szCs w:val="14"/>
              </w:rPr>
            </w:pPr>
            <w:r w:rsidRPr="2248451C">
              <w:rPr>
                <w:b/>
                <w:bCs/>
                <w:sz w:val="14"/>
                <w:szCs w:val="14"/>
              </w:rPr>
              <w:t>53,7</w:t>
            </w:r>
          </w:p>
        </w:tc>
        <w:tc>
          <w:tcPr>
            <w:tcW w:w="807" w:type="dxa"/>
            <w:tcBorders>
              <w:top w:val="nil"/>
              <w:left w:val="nil"/>
              <w:bottom w:val="single" w:sz="4" w:space="0" w:color="auto"/>
              <w:right w:val="single" w:sz="4" w:space="0" w:color="auto"/>
            </w:tcBorders>
            <w:shd w:val="clear" w:color="auto" w:fill="auto"/>
            <w:noWrap/>
            <w:vAlign w:val="bottom"/>
            <w:hideMark/>
          </w:tcPr>
          <w:p w14:paraId="32D0D61E" w14:textId="77777777" w:rsidR="0050193A" w:rsidRPr="0050193A" w:rsidRDefault="2248451C" w:rsidP="000D134F">
            <w:pPr>
              <w:spacing w:after="0"/>
              <w:jc w:val="right"/>
              <w:rPr>
                <w:b/>
                <w:bCs/>
                <w:sz w:val="14"/>
                <w:szCs w:val="14"/>
              </w:rPr>
            </w:pPr>
            <w:r w:rsidRPr="2248451C">
              <w:rPr>
                <w:b/>
                <w:bCs/>
                <w:sz w:val="14"/>
                <w:szCs w:val="14"/>
              </w:rPr>
              <w:t>-0,5</w:t>
            </w:r>
          </w:p>
        </w:tc>
        <w:tc>
          <w:tcPr>
            <w:tcW w:w="593" w:type="dxa"/>
            <w:tcBorders>
              <w:top w:val="nil"/>
              <w:left w:val="nil"/>
              <w:bottom w:val="single" w:sz="4" w:space="0" w:color="auto"/>
              <w:right w:val="single" w:sz="4" w:space="0" w:color="auto"/>
            </w:tcBorders>
            <w:shd w:val="clear" w:color="auto" w:fill="auto"/>
            <w:noWrap/>
            <w:vAlign w:val="bottom"/>
            <w:hideMark/>
          </w:tcPr>
          <w:p w14:paraId="10B2FD6A" w14:textId="77777777" w:rsidR="0050193A" w:rsidRPr="0050193A" w:rsidRDefault="2248451C" w:rsidP="000D134F">
            <w:pPr>
              <w:spacing w:after="0"/>
              <w:jc w:val="right"/>
              <w:rPr>
                <w:b/>
                <w:bCs/>
                <w:sz w:val="14"/>
                <w:szCs w:val="14"/>
              </w:rPr>
            </w:pPr>
            <w:r w:rsidRPr="2248451C">
              <w:rPr>
                <w:b/>
                <w:bCs/>
                <w:sz w:val="14"/>
                <w:szCs w:val="14"/>
              </w:rPr>
              <w:t>99,1</w:t>
            </w:r>
          </w:p>
        </w:tc>
      </w:tr>
      <w:tr w:rsidR="0050193A" w:rsidRPr="0050193A" w14:paraId="05730DE8"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946213A" w14:textId="77777777" w:rsidR="0050193A" w:rsidRPr="0050193A" w:rsidRDefault="2248451C" w:rsidP="000D134F">
            <w:pPr>
              <w:spacing w:after="0"/>
              <w:ind w:firstLineChars="100" w:firstLine="140"/>
              <w:jc w:val="left"/>
              <w:rPr>
                <w:i/>
                <w:iCs/>
                <w:sz w:val="14"/>
                <w:szCs w:val="14"/>
              </w:rPr>
            </w:pPr>
            <w:r w:rsidRPr="2248451C">
              <w:rPr>
                <w:i/>
                <w:iCs/>
                <w:sz w:val="14"/>
                <w:szCs w:val="14"/>
              </w:rPr>
              <w:t>Ebből:</w:t>
            </w:r>
          </w:p>
        </w:tc>
        <w:tc>
          <w:tcPr>
            <w:tcW w:w="980" w:type="dxa"/>
            <w:tcBorders>
              <w:top w:val="nil"/>
              <w:left w:val="nil"/>
              <w:bottom w:val="single" w:sz="4" w:space="0" w:color="auto"/>
              <w:right w:val="single" w:sz="4" w:space="0" w:color="auto"/>
            </w:tcBorders>
            <w:shd w:val="clear" w:color="auto" w:fill="auto"/>
            <w:noWrap/>
            <w:vAlign w:val="bottom"/>
            <w:hideMark/>
          </w:tcPr>
          <w:p w14:paraId="527570C1" w14:textId="77777777" w:rsidR="0050193A" w:rsidRPr="0050193A" w:rsidRDefault="2248451C" w:rsidP="000D134F">
            <w:pPr>
              <w:spacing w:after="0"/>
              <w:jc w:val="right"/>
              <w:rPr>
                <w:sz w:val="14"/>
                <w:szCs w:val="14"/>
              </w:rPr>
            </w:pPr>
            <w:r w:rsidRPr="2248451C">
              <w:rPr>
                <w:sz w:val="14"/>
                <w:szCs w:val="14"/>
              </w:rPr>
              <w:t> </w:t>
            </w:r>
          </w:p>
        </w:tc>
        <w:tc>
          <w:tcPr>
            <w:tcW w:w="960" w:type="dxa"/>
            <w:tcBorders>
              <w:top w:val="nil"/>
              <w:left w:val="nil"/>
              <w:bottom w:val="single" w:sz="4" w:space="0" w:color="auto"/>
              <w:right w:val="single" w:sz="4" w:space="0" w:color="auto"/>
            </w:tcBorders>
            <w:shd w:val="clear" w:color="auto" w:fill="auto"/>
            <w:noWrap/>
            <w:vAlign w:val="bottom"/>
            <w:hideMark/>
          </w:tcPr>
          <w:p w14:paraId="7E738F46" w14:textId="77777777" w:rsidR="0050193A" w:rsidRPr="0050193A" w:rsidRDefault="2248451C" w:rsidP="000D134F">
            <w:pPr>
              <w:spacing w:after="0"/>
              <w:jc w:val="right"/>
              <w:rPr>
                <w:sz w:val="14"/>
                <w:szCs w:val="14"/>
              </w:rPr>
            </w:pPr>
            <w:r w:rsidRPr="2248451C">
              <w:rPr>
                <w:sz w:val="14"/>
                <w:szCs w:val="14"/>
              </w:rPr>
              <w:t> </w:t>
            </w:r>
          </w:p>
        </w:tc>
        <w:tc>
          <w:tcPr>
            <w:tcW w:w="807" w:type="dxa"/>
            <w:tcBorders>
              <w:top w:val="nil"/>
              <w:left w:val="nil"/>
              <w:bottom w:val="single" w:sz="4" w:space="0" w:color="auto"/>
              <w:right w:val="single" w:sz="4" w:space="0" w:color="auto"/>
            </w:tcBorders>
            <w:shd w:val="clear" w:color="auto" w:fill="auto"/>
            <w:noWrap/>
            <w:vAlign w:val="bottom"/>
            <w:hideMark/>
          </w:tcPr>
          <w:p w14:paraId="324C779A" w14:textId="77777777" w:rsidR="0050193A" w:rsidRPr="0050193A" w:rsidRDefault="2248451C" w:rsidP="000D134F">
            <w:pPr>
              <w:spacing w:after="0"/>
              <w:jc w:val="right"/>
              <w:rPr>
                <w:sz w:val="14"/>
                <w:szCs w:val="14"/>
              </w:rPr>
            </w:pPr>
            <w:r w:rsidRPr="2248451C">
              <w:rPr>
                <w:sz w:val="14"/>
                <w:szCs w:val="14"/>
              </w:rPr>
              <w:t> </w:t>
            </w:r>
          </w:p>
        </w:tc>
        <w:tc>
          <w:tcPr>
            <w:tcW w:w="593" w:type="dxa"/>
            <w:tcBorders>
              <w:top w:val="nil"/>
              <w:left w:val="nil"/>
              <w:bottom w:val="single" w:sz="4" w:space="0" w:color="auto"/>
              <w:right w:val="single" w:sz="4" w:space="0" w:color="auto"/>
            </w:tcBorders>
            <w:shd w:val="clear" w:color="auto" w:fill="auto"/>
            <w:noWrap/>
            <w:vAlign w:val="bottom"/>
            <w:hideMark/>
          </w:tcPr>
          <w:p w14:paraId="3A951C7F" w14:textId="77777777" w:rsidR="0050193A" w:rsidRPr="0050193A" w:rsidRDefault="2248451C" w:rsidP="000D134F">
            <w:pPr>
              <w:spacing w:after="0"/>
              <w:jc w:val="right"/>
              <w:rPr>
                <w:sz w:val="14"/>
                <w:szCs w:val="14"/>
              </w:rPr>
            </w:pPr>
            <w:r w:rsidRPr="2248451C">
              <w:rPr>
                <w:sz w:val="14"/>
                <w:szCs w:val="14"/>
              </w:rPr>
              <w:t> </w:t>
            </w:r>
          </w:p>
        </w:tc>
      </w:tr>
      <w:tr w:rsidR="0050193A" w:rsidRPr="0050193A" w14:paraId="1D7E2F66"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29E921A0" w14:textId="77777777" w:rsidR="0050193A" w:rsidRPr="0050193A" w:rsidRDefault="2248451C" w:rsidP="000D134F">
            <w:pPr>
              <w:spacing w:after="0"/>
              <w:ind w:firstLineChars="400" w:firstLine="560"/>
              <w:jc w:val="left"/>
              <w:rPr>
                <w:i/>
                <w:iCs/>
                <w:sz w:val="14"/>
                <w:szCs w:val="14"/>
              </w:rPr>
            </w:pPr>
            <w:r w:rsidRPr="2248451C">
              <w:rPr>
                <w:i/>
                <w:iCs/>
                <w:sz w:val="14"/>
                <w:szCs w:val="14"/>
              </w:rPr>
              <w:t>korhatár előtti ellátás és táncművészeti életjáradék</w:t>
            </w:r>
          </w:p>
        </w:tc>
        <w:tc>
          <w:tcPr>
            <w:tcW w:w="980" w:type="dxa"/>
            <w:tcBorders>
              <w:top w:val="nil"/>
              <w:left w:val="nil"/>
              <w:bottom w:val="single" w:sz="4" w:space="0" w:color="auto"/>
              <w:right w:val="single" w:sz="4" w:space="0" w:color="auto"/>
            </w:tcBorders>
            <w:shd w:val="clear" w:color="auto" w:fill="auto"/>
            <w:noWrap/>
            <w:vAlign w:val="bottom"/>
            <w:hideMark/>
          </w:tcPr>
          <w:p w14:paraId="6FBBAE45" w14:textId="77777777" w:rsidR="0050193A" w:rsidRPr="0050193A" w:rsidRDefault="2248451C" w:rsidP="000D134F">
            <w:pPr>
              <w:spacing w:after="0"/>
              <w:jc w:val="right"/>
              <w:rPr>
                <w:sz w:val="14"/>
                <w:szCs w:val="14"/>
              </w:rPr>
            </w:pPr>
            <w:r w:rsidRPr="2248451C">
              <w:rPr>
                <w:sz w:val="14"/>
                <w:szCs w:val="14"/>
              </w:rPr>
              <w:t>11,9</w:t>
            </w:r>
          </w:p>
        </w:tc>
        <w:tc>
          <w:tcPr>
            <w:tcW w:w="960" w:type="dxa"/>
            <w:tcBorders>
              <w:top w:val="nil"/>
              <w:left w:val="nil"/>
              <w:bottom w:val="single" w:sz="4" w:space="0" w:color="auto"/>
              <w:right w:val="single" w:sz="4" w:space="0" w:color="auto"/>
            </w:tcBorders>
            <w:shd w:val="clear" w:color="auto" w:fill="auto"/>
            <w:noWrap/>
            <w:vAlign w:val="bottom"/>
            <w:hideMark/>
          </w:tcPr>
          <w:p w14:paraId="0E198149" w14:textId="77777777" w:rsidR="0050193A" w:rsidRPr="0050193A" w:rsidRDefault="2248451C" w:rsidP="000D134F">
            <w:pPr>
              <w:spacing w:after="0"/>
              <w:jc w:val="right"/>
              <w:rPr>
                <w:sz w:val="14"/>
                <w:szCs w:val="14"/>
              </w:rPr>
            </w:pPr>
            <w:r w:rsidRPr="2248451C">
              <w:rPr>
                <w:sz w:val="14"/>
                <w:szCs w:val="14"/>
              </w:rPr>
              <w:t>12,4</w:t>
            </w:r>
          </w:p>
        </w:tc>
        <w:tc>
          <w:tcPr>
            <w:tcW w:w="807" w:type="dxa"/>
            <w:tcBorders>
              <w:top w:val="nil"/>
              <w:left w:val="nil"/>
              <w:bottom w:val="single" w:sz="4" w:space="0" w:color="auto"/>
              <w:right w:val="single" w:sz="4" w:space="0" w:color="auto"/>
            </w:tcBorders>
            <w:shd w:val="clear" w:color="auto" w:fill="auto"/>
            <w:noWrap/>
            <w:vAlign w:val="bottom"/>
            <w:hideMark/>
          </w:tcPr>
          <w:p w14:paraId="03817682" w14:textId="77777777" w:rsidR="0050193A" w:rsidRPr="0050193A" w:rsidRDefault="2248451C" w:rsidP="000D134F">
            <w:pPr>
              <w:spacing w:after="0"/>
              <w:jc w:val="right"/>
              <w:rPr>
                <w:sz w:val="14"/>
                <w:szCs w:val="14"/>
              </w:rPr>
            </w:pPr>
            <w:r w:rsidRPr="2248451C">
              <w:rPr>
                <w:sz w:val="14"/>
                <w:szCs w:val="14"/>
              </w:rPr>
              <w:t>0,5</w:t>
            </w:r>
          </w:p>
        </w:tc>
        <w:tc>
          <w:tcPr>
            <w:tcW w:w="593" w:type="dxa"/>
            <w:tcBorders>
              <w:top w:val="nil"/>
              <w:left w:val="nil"/>
              <w:bottom w:val="single" w:sz="4" w:space="0" w:color="auto"/>
              <w:right w:val="single" w:sz="4" w:space="0" w:color="auto"/>
            </w:tcBorders>
            <w:shd w:val="clear" w:color="auto" w:fill="auto"/>
            <w:noWrap/>
            <w:vAlign w:val="bottom"/>
            <w:hideMark/>
          </w:tcPr>
          <w:p w14:paraId="18AC1A6B" w14:textId="77777777" w:rsidR="0050193A" w:rsidRPr="0050193A" w:rsidRDefault="2248451C" w:rsidP="000D134F">
            <w:pPr>
              <w:spacing w:after="0"/>
              <w:jc w:val="right"/>
              <w:rPr>
                <w:sz w:val="14"/>
                <w:szCs w:val="14"/>
              </w:rPr>
            </w:pPr>
            <w:r w:rsidRPr="2248451C">
              <w:rPr>
                <w:sz w:val="14"/>
                <w:szCs w:val="14"/>
              </w:rPr>
              <w:t>104,2</w:t>
            </w:r>
          </w:p>
        </w:tc>
      </w:tr>
      <w:tr w:rsidR="0050193A" w:rsidRPr="0050193A" w14:paraId="2ABA34E2"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CED1C32" w14:textId="77777777" w:rsidR="0050193A" w:rsidRPr="0050193A" w:rsidRDefault="2248451C" w:rsidP="000D134F">
            <w:pPr>
              <w:spacing w:after="0"/>
              <w:ind w:firstLineChars="400" w:firstLine="560"/>
              <w:jc w:val="left"/>
              <w:rPr>
                <w:i/>
                <w:iCs/>
                <w:sz w:val="14"/>
                <w:szCs w:val="14"/>
              </w:rPr>
            </w:pPr>
            <w:r w:rsidRPr="2248451C">
              <w:rPr>
                <w:i/>
                <w:iCs/>
                <w:sz w:val="14"/>
                <w:szCs w:val="14"/>
              </w:rPr>
              <w:t>szolgálati járandóság</w:t>
            </w:r>
          </w:p>
        </w:tc>
        <w:tc>
          <w:tcPr>
            <w:tcW w:w="980" w:type="dxa"/>
            <w:tcBorders>
              <w:top w:val="nil"/>
              <w:left w:val="nil"/>
              <w:bottom w:val="single" w:sz="4" w:space="0" w:color="auto"/>
              <w:right w:val="single" w:sz="4" w:space="0" w:color="auto"/>
            </w:tcBorders>
            <w:shd w:val="clear" w:color="auto" w:fill="auto"/>
            <w:noWrap/>
            <w:vAlign w:val="bottom"/>
            <w:hideMark/>
          </w:tcPr>
          <w:p w14:paraId="7F5F7038" w14:textId="77777777" w:rsidR="0050193A" w:rsidRPr="0050193A" w:rsidRDefault="2248451C" w:rsidP="000D134F">
            <w:pPr>
              <w:spacing w:after="0"/>
              <w:jc w:val="right"/>
              <w:rPr>
                <w:sz w:val="14"/>
                <w:szCs w:val="14"/>
              </w:rPr>
            </w:pPr>
            <w:r w:rsidRPr="2248451C">
              <w:rPr>
                <w:sz w:val="14"/>
                <w:szCs w:val="14"/>
              </w:rPr>
              <w:t>42,3</w:t>
            </w:r>
          </w:p>
        </w:tc>
        <w:tc>
          <w:tcPr>
            <w:tcW w:w="960" w:type="dxa"/>
            <w:tcBorders>
              <w:top w:val="nil"/>
              <w:left w:val="nil"/>
              <w:bottom w:val="single" w:sz="4" w:space="0" w:color="auto"/>
              <w:right w:val="single" w:sz="4" w:space="0" w:color="auto"/>
            </w:tcBorders>
            <w:shd w:val="clear" w:color="auto" w:fill="auto"/>
            <w:noWrap/>
            <w:vAlign w:val="bottom"/>
            <w:hideMark/>
          </w:tcPr>
          <w:p w14:paraId="0B610E2E" w14:textId="77777777" w:rsidR="0050193A" w:rsidRPr="0050193A" w:rsidRDefault="2248451C" w:rsidP="000D134F">
            <w:pPr>
              <w:spacing w:after="0"/>
              <w:jc w:val="right"/>
              <w:rPr>
                <w:sz w:val="14"/>
                <w:szCs w:val="14"/>
              </w:rPr>
            </w:pPr>
            <w:r w:rsidRPr="2248451C">
              <w:rPr>
                <w:sz w:val="14"/>
                <w:szCs w:val="14"/>
              </w:rPr>
              <w:t>41,3</w:t>
            </w:r>
          </w:p>
        </w:tc>
        <w:tc>
          <w:tcPr>
            <w:tcW w:w="807" w:type="dxa"/>
            <w:tcBorders>
              <w:top w:val="nil"/>
              <w:left w:val="nil"/>
              <w:bottom w:val="single" w:sz="4" w:space="0" w:color="auto"/>
              <w:right w:val="single" w:sz="4" w:space="0" w:color="auto"/>
            </w:tcBorders>
            <w:shd w:val="clear" w:color="auto" w:fill="auto"/>
            <w:noWrap/>
            <w:vAlign w:val="bottom"/>
            <w:hideMark/>
          </w:tcPr>
          <w:p w14:paraId="2569BBAD" w14:textId="77777777" w:rsidR="0050193A" w:rsidRPr="0050193A" w:rsidRDefault="2248451C" w:rsidP="000D134F">
            <w:pPr>
              <w:spacing w:after="0"/>
              <w:jc w:val="right"/>
              <w:rPr>
                <w:sz w:val="14"/>
                <w:szCs w:val="14"/>
              </w:rPr>
            </w:pPr>
            <w:r w:rsidRPr="2248451C">
              <w:rPr>
                <w:sz w:val="14"/>
                <w:szCs w:val="14"/>
              </w:rPr>
              <w:t>-1,0</w:t>
            </w:r>
          </w:p>
        </w:tc>
        <w:tc>
          <w:tcPr>
            <w:tcW w:w="593" w:type="dxa"/>
            <w:tcBorders>
              <w:top w:val="nil"/>
              <w:left w:val="nil"/>
              <w:bottom w:val="single" w:sz="4" w:space="0" w:color="auto"/>
              <w:right w:val="single" w:sz="4" w:space="0" w:color="auto"/>
            </w:tcBorders>
            <w:shd w:val="clear" w:color="auto" w:fill="auto"/>
            <w:noWrap/>
            <w:vAlign w:val="bottom"/>
            <w:hideMark/>
          </w:tcPr>
          <w:p w14:paraId="6451A1D4" w14:textId="77777777" w:rsidR="0050193A" w:rsidRPr="0050193A" w:rsidRDefault="2248451C" w:rsidP="000D134F">
            <w:pPr>
              <w:spacing w:after="0"/>
              <w:jc w:val="right"/>
              <w:rPr>
                <w:sz w:val="14"/>
                <w:szCs w:val="14"/>
              </w:rPr>
            </w:pPr>
            <w:r w:rsidRPr="2248451C">
              <w:rPr>
                <w:sz w:val="14"/>
                <w:szCs w:val="14"/>
              </w:rPr>
              <w:t>97,6</w:t>
            </w:r>
          </w:p>
        </w:tc>
      </w:tr>
      <w:tr w:rsidR="0050193A" w:rsidRPr="0050193A" w14:paraId="207B6439"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448B8709" w14:textId="77777777" w:rsidR="0050193A" w:rsidRPr="0050193A" w:rsidRDefault="2248451C" w:rsidP="000D134F">
            <w:pPr>
              <w:spacing w:after="0"/>
              <w:jc w:val="left"/>
              <w:rPr>
                <w:b/>
                <w:bCs/>
                <w:sz w:val="14"/>
                <w:szCs w:val="14"/>
              </w:rPr>
            </w:pPr>
            <w:r w:rsidRPr="2248451C">
              <w:rPr>
                <w:b/>
                <w:bCs/>
                <w:sz w:val="14"/>
                <w:szCs w:val="14"/>
              </w:rPr>
              <w:t>Jövedelempótló és jövedelemkiegészítő szociális támogatások</w:t>
            </w:r>
          </w:p>
        </w:tc>
        <w:tc>
          <w:tcPr>
            <w:tcW w:w="980" w:type="dxa"/>
            <w:tcBorders>
              <w:top w:val="nil"/>
              <w:left w:val="nil"/>
              <w:bottom w:val="single" w:sz="4" w:space="0" w:color="auto"/>
              <w:right w:val="single" w:sz="4" w:space="0" w:color="auto"/>
            </w:tcBorders>
            <w:shd w:val="clear" w:color="auto" w:fill="auto"/>
            <w:noWrap/>
            <w:vAlign w:val="bottom"/>
            <w:hideMark/>
          </w:tcPr>
          <w:p w14:paraId="37C8424E" w14:textId="77777777" w:rsidR="0050193A" w:rsidRPr="0050193A" w:rsidRDefault="2248451C" w:rsidP="000D134F">
            <w:pPr>
              <w:spacing w:after="0"/>
              <w:jc w:val="right"/>
              <w:rPr>
                <w:b/>
                <w:bCs/>
                <w:sz w:val="14"/>
                <w:szCs w:val="14"/>
              </w:rPr>
            </w:pPr>
            <w:r w:rsidRPr="2248451C">
              <w:rPr>
                <w:b/>
                <w:bCs/>
                <w:sz w:val="14"/>
                <w:szCs w:val="14"/>
              </w:rPr>
              <w:t>81,6</w:t>
            </w:r>
          </w:p>
        </w:tc>
        <w:tc>
          <w:tcPr>
            <w:tcW w:w="960" w:type="dxa"/>
            <w:tcBorders>
              <w:top w:val="nil"/>
              <w:left w:val="nil"/>
              <w:bottom w:val="single" w:sz="4" w:space="0" w:color="auto"/>
              <w:right w:val="single" w:sz="4" w:space="0" w:color="auto"/>
            </w:tcBorders>
            <w:shd w:val="clear" w:color="auto" w:fill="auto"/>
            <w:noWrap/>
            <w:vAlign w:val="bottom"/>
            <w:hideMark/>
          </w:tcPr>
          <w:p w14:paraId="18A4829B" w14:textId="77777777" w:rsidR="0050193A" w:rsidRPr="0050193A" w:rsidRDefault="2248451C" w:rsidP="000D134F">
            <w:pPr>
              <w:spacing w:after="0"/>
              <w:jc w:val="right"/>
              <w:rPr>
                <w:b/>
                <w:bCs/>
                <w:sz w:val="14"/>
                <w:szCs w:val="14"/>
              </w:rPr>
            </w:pPr>
            <w:r w:rsidRPr="2248451C">
              <w:rPr>
                <w:b/>
                <w:bCs/>
                <w:sz w:val="14"/>
                <w:szCs w:val="14"/>
              </w:rPr>
              <w:t>84,1</w:t>
            </w:r>
          </w:p>
        </w:tc>
        <w:tc>
          <w:tcPr>
            <w:tcW w:w="807" w:type="dxa"/>
            <w:tcBorders>
              <w:top w:val="nil"/>
              <w:left w:val="nil"/>
              <w:bottom w:val="single" w:sz="4" w:space="0" w:color="auto"/>
              <w:right w:val="single" w:sz="4" w:space="0" w:color="auto"/>
            </w:tcBorders>
            <w:shd w:val="clear" w:color="auto" w:fill="auto"/>
            <w:noWrap/>
            <w:vAlign w:val="bottom"/>
            <w:hideMark/>
          </w:tcPr>
          <w:p w14:paraId="7A3326BB" w14:textId="77777777" w:rsidR="0050193A" w:rsidRPr="0050193A" w:rsidRDefault="2248451C" w:rsidP="000D134F">
            <w:pPr>
              <w:spacing w:after="0"/>
              <w:jc w:val="right"/>
              <w:rPr>
                <w:b/>
                <w:bCs/>
                <w:sz w:val="14"/>
                <w:szCs w:val="14"/>
              </w:rPr>
            </w:pPr>
            <w:r w:rsidRPr="2248451C">
              <w:rPr>
                <w:b/>
                <w:bCs/>
                <w:sz w:val="14"/>
                <w:szCs w:val="14"/>
              </w:rPr>
              <w:t>2,5</w:t>
            </w:r>
          </w:p>
        </w:tc>
        <w:tc>
          <w:tcPr>
            <w:tcW w:w="593" w:type="dxa"/>
            <w:tcBorders>
              <w:top w:val="nil"/>
              <w:left w:val="nil"/>
              <w:bottom w:val="single" w:sz="4" w:space="0" w:color="auto"/>
              <w:right w:val="single" w:sz="4" w:space="0" w:color="auto"/>
            </w:tcBorders>
            <w:shd w:val="clear" w:color="auto" w:fill="auto"/>
            <w:noWrap/>
            <w:vAlign w:val="bottom"/>
            <w:hideMark/>
          </w:tcPr>
          <w:p w14:paraId="1761DD81" w14:textId="77777777" w:rsidR="0050193A" w:rsidRPr="0050193A" w:rsidRDefault="2248451C" w:rsidP="000D134F">
            <w:pPr>
              <w:spacing w:after="0"/>
              <w:jc w:val="right"/>
              <w:rPr>
                <w:b/>
                <w:bCs/>
                <w:sz w:val="14"/>
                <w:szCs w:val="14"/>
              </w:rPr>
            </w:pPr>
            <w:r w:rsidRPr="2248451C">
              <w:rPr>
                <w:b/>
                <w:bCs/>
                <w:sz w:val="14"/>
                <w:szCs w:val="14"/>
              </w:rPr>
              <w:t>103,1</w:t>
            </w:r>
          </w:p>
        </w:tc>
      </w:tr>
      <w:tr w:rsidR="0050193A" w:rsidRPr="0050193A" w14:paraId="4894D0AA"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8C0A7B0" w14:textId="77777777" w:rsidR="0050193A" w:rsidRPr="0050193A" w:rsidRDefault="2248451C" w:rsidP="000D134F">
            <w:pPr>
              <w:spacing w:after="0"/>
              <w:ind w:firstLineChars="100" w:firstLine="140"/>
              <w:jc w:val="left"/>
              <w:rPr>
                <w:i/>
                <w:iCs/>
                <w:sz w:val="14"/>
                <w:szCs w:val="14"/>
              </w:rPr>
            </w:pPr>
            <w:r w:rsidRPr="2248451C">
              <w:rPr>
                <w:i/>
                <w:iCs/>
                <w:sz w:val="14"/>
                <w:szCs w:val="14"/>
              </w:rPr>
              <w:t>Ebből:</w:t>
            </w:r>
          </w:p>
        </w:tc>
        <w:tc>
          <w:tcPr>
            <w:tcW w:w="980" w:type="dxa"/>
            <w:tcBorders>
              <w:top w:val="nil"/>
              <w:left w:val="nil"/>
              <w:bottom w:val="single" w:sz="4" w:space="0" w:color="auto"/>
              <w:right w:val="single" w:sz="4" w:space="0" w:color="auto"/>
            </w:tcBorders>
            <w:shd w:val="clear" w:color="auto" w:fill="auto"/>
            <w:noWrap/>
            <w:vAlign w:val="bottom"/>
            <w:hideMark/>
          </w:tcPr>
          <w:p w14:paraId="51EDE1A1" w14:textId="77777777" w:rsidR="0050193A" w:rsidRPr="0050193A" w:rsidRDefault="2248451C" w:rsidP="000D134F">
            <w:pPr>
              <w:spacing w:after="0"/>
              <w:jc w:val="right"/>
              <w:rPr>
                <w:sz w:val="14"/>
                <w:szCs w:val="14"/>
              </w:rPr>
            </w:pPr>
            <w:r w:rsidRPr="2248451C">
              <w:rPr>
                <w:sz w:val="14"/>
                <w:szCs w:val="14"/>
              </w:rPr>
              <w:t> </w:t>
            </w:r>
          </w:p>
        </w:tc>
        <w:tc>
          <w:tcPr>
            <w:tcW w:w="960" w:type="dxa"/>
            <w:tcBorders>
              <w:top w:val="nil"/>
              <w:left w:val="nil"/>
              <w:bottom w:val="single" w:sz="4" w:space="0" w:color="auto"/>
              <w:right w:val="single" w:sz="4" w:space="0" w:color="auto"/>
            </w:tcBorders>
            <w:shd w:val="clear" w:color="auto" w:fill="auto"/>
            <w:noWrap/>
            <w:vAlign w:val="bottom"/>
            <w:hideMark/>
          </w:tcPr>
          <w:p w14:paraId="2DF5BD66" w14:textId="77777777" w:rsidR="0050193A" w:rsidRPr="0050193A" w:rsidRDefault="2248451C" w:rsidP="000D134F">
            <w:pPr>
              <w:spacing w:after="0"/>
              <w:jc w:val="right"/>
              <w:rPr>
                <w:sz w:val="14"/>
                <w:szCs w:val="14"/>
              </w:rPr>
            </w:pPr>
            <w:r w:rsidRPr="2248451C">
              <w:rPr>
                <w:sz w:val="14"/>
                <w:szCs w:val="14"/>
              </w:rPr>
              <w:t> </w:t>
            </w:r>
          </w:p>
        </w:tc>
        <w:tc>
          <w:tcPr>
            <w:tcW w:w="807" w:type="dxa"/>
            <w:tcBorders>
              <w:top w:val="nil"/>
              <w:left w:val="nil"/>
              <w:bottom w:val="single" w:sz="4" w:space="0" w:color="auto"/>
              <w:right w:val="single" w:sz="4" w:space="0" w:color="auto"/>
            </w:tcBorders>
            <w:shd w:val="clear" w:color="auto" w:fill="auto"/>
            <w:noWrap/>
            <w:vAlign w:val="bottom"/>
            <w:hideMark/>
          </w:tcPr>
          <w:p w14:paraId="476FB8B6" w14:textId="77777777" w:rsidR="0050193A" w:rsidRPr="0050193A" w:rsidRDefault="2248451C" w:rsidP="000D134F">
            <w:pPr>
              <w:spacing w:after="0"/>
              <w:jc w:val="right"/>
              <w:rPr>
                <w:sz w:val="14"/>
                <w:szCs w:val="14"/>
              </w:rPr>
            </w:pPr>
            <w:r w:rsidRPr="2248451C">
              <w:rPr>
                <w:sz w:val="14"/>
                <w:szCs w:val="14"/>
              </w:rPr>
              <w:t> </w:t>
            </w:r>
          </w:p>
        </w:tc>
        <w:tc>
          <w:tcPr>
            <w:tcW w:w="593" w:type="dxa"/>
            <w:tcBorders>
              <w:top w:val="nil"/>
              <w:left w:val="nil"/>
              <w:bottom w:val="single" w:sz="4" w:space="0" w:color="auto"/>
              <w:right w:val="single" w:sz="4" w:space="0" w:color="auto"/>
            </w:tcBorders>
            <w:shd w:val="clear" w:color="auto" w:fill="auto"/>
            <w:noWrap/>
            <w:vAlign w:val="bottom"/>
            <w:hideMark/>
          </w:tcPr>
          <w:p w14:paraId="240E02F9" w14:textId="77777777" w:rsidR="0050193A" w:rsidRPr="0050193A" w:rsidRDefault="2248451C" w:rsidP="000D134F">
            <w:pPr>
              <w:spacing w:after="0"/>
              <w:jc w:val="right"/>
              <w:rPr>
                <w:b/>
                <w:bCs/>
                <w:sz w:val="14"/>
                <w:szCs w:val="14"/>
              </w:rPr>
            </w:pPr>
            <w:r w:rsidRPr="2248451C">
              <w:rPr>
                <w:b/>
                <w:bCs/>
                <w:sz w:val="14"/>
                <w:szCs w:val="14"/>
              </w:rPr>
              <w:t> </w:t>
            </w:r>
          </w:p>
        </w:tc>
      </w:tr>
      <w:tr w:rsidR="0050193A" w:rsidRPr="0050193A" w14:paraId="701D4B11"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015EB2B" w14:textId="77777777" w:rsidR="0050193A" w:rsidRPr="0050193A" w:rsidRDefault="2248451C" w:rsidP="000D134F">
            <w:pPr>
              <w:spacing w:after="0"/>
              <w:ind w:firstLineChars="400" w:firstLine="560"/>
              <w:jc w:val="left"/>
              <w:rPr>
                <w:i/>
                <w:iCs/>
                <w:sz w:val="14"/>
                <w:szCs w:val="14"/>
              </w:rPr>
            </w:pPr>
            <w:r w:rsidRPr="2248451C">
              <w:rPr>
                <w:i/>
                <w:iCs/>
                <w:sz w:val="14"/>
                <w:szCs w:val="14"/>
              </w:rPr>
              <w:t>járási szociális feladatok ellátása</w:t>
            </w:r>
          </w:p>
        </w:tc>
        <w:tc>
          <w:tcPr>
            <w:tcW w:w="980" w:type="dxa"/>
            <w:tcBorders>
              <w:top w:val="nil"/>
              <w:left w:val="nil"/>
              <w:bottom w:val="single" w:sz="4" w:space="0" w:color="auto"/>
              <w:right w:val="single" w:sz="4" w:space="0" w:color="auto"/>
            </w:tcBorders>
            <w:shd w:val="clear" w:color="auto" w:fill="auto"/>
            <w:noWrap/>
            <w:vAlign w:val="bottom"/>
            <w:hideMark/>
          </w:tcPr>
          <w:p w14:paraId="33EB8931" w14:textId="77777777" w:rsidR="0050193A" w:rsidRPr="0050193A" w:rsidRDefault="2248451C" w:rsidP="000D134F">
            <w:pPr>
              <w:spacing w:after="0"/>
              <w:jc w:val="right"/>
              <w:rPr>
                <w:sz w:val="14"/>
                <w:szCs w:val="14"/>
              </w:rPr>
            </w:pPr>
            <w:r w:rsidRPr="2248451C">
              <w:rPr>
                <w:sz w:val="14"/>
                <w:szCs w:val="14"/>
              </w:rPr>
              <w:t>44,9</w:t>
            </w:r>
          </w:p>
        </w:tc>
        <w:tc>
          <w:tcPr>
            <w:tcW w:w="960" w:type="dxa"/>
            <w:tcBorders>
              <w:top w:val="nil"/>
              <w:left w:val="nil"/>
              <w:bottom w:val="single" w:sz="4" w:space="0" w:color="auto"/>
              <w:right w:val="single" w:sz="4" w:space="0" w:color="auto"/>
            </w:tcBorders>
            <w:shd w:val="clear" w:color="auto" w:fill="auto"/>
            <w:noWrap/>
            <w:vAlign w:val="bottom"/>
            <w:hideMark/>
          </w:tcPr>
          <w:p w14:paraId="6DFAFBF5" w14:textId="77777777" w:rsidR="0050193A" w:rsidRPr="0050193A" w:rsidRDefault="2248451C" w:rsidP="000D134F">
            <w:pPr>
              <w:spacing w:after="0"/>
              <w:jc w:val="right"/>
              <w:rPr>
                <w:sz w:val="14"/>
                <w:szCs w:val="14"/>
              </w:rPr>
            </w:pPr>
            <w:r w:rsidRPr="2248451C">
              <w:rPr>
                <w:sz w:val="14"/>
                <w:szCs w:val="14"/>
              </w:rPr>
              <w:t>47,5</w:t>
            </w:r>
          </w:p>
        </w:tc>
        <w:tc>
          <w:tcPr>
            <w:tcW w:w="807" w:type="dxa"/>
            <w:tcBorders>
              <w:top w:val="nil"/>
              <w:left w:val="nil"/>
              <w:bottom w:val="single" w:sz="4" w:space="0" w:color="auto"/>
              <w:right w:val="single" w:sz="4" w:space="0" w:color="auto"/>
            </w:tcBorders>
            <w:shd w:val="clear" w:color="auto" w:fill="auto"/>
            <w:noWrap/>
            <w:vAlign w:val="bottom"/>
            <w:hideMark/>
          </w:tcPr>
          <w:p w14:paraId="50A0DA11" w14:textId="77777777" w:rsidR="0050193A" w:rsidRPr="0050193A" w:rsidRDefault="2248451C" w:rsidP="000D134F">
            <w:pPr>
              <w:spacing w:after="0"/>
              <w:jc w:val="right"/>
              <w:rPr>
                <w:sz w:val="14"/>
                <w:szCs w:val="14"/>
              </w:rPr>
            </w:pPr>
            <w:r w:rsidRPr="2248451C">
              <w:rPr>
                <w:sz w:val="14"/>
                <w:szCs w:val="14"/>
              </w:rPr>
              <w:t>2,6</w:t>
            </w:r>
          </w:p>
        </w:tc>
        <w:tc>
          <w:tcPr>
            <w:tcW w:w="593" w:type="dxa"/>
            <w:tcBorders>
              <w:top w:val="nil"/>
              <w:left w:val="nil"/>
              <w:bottom w:val="single" w:sz="4" w:space="0" w:color="auto"/>
              <w:right w:val="single" w:sz="4" w:space="0" w:color="auto"/>
            </w:tcBorders>
            <w:shd w:val="clear" w:color="auto" w:fill="auto"/>
            <w:noWrap/>
            <w:vAlign w:val="bottom"/>
            <w:hideMark/>
          </w:tcPr>
          <w:p w14:paraId="45DAA5F4" w14:textId="77777777" w:rsidR="0050193A" w:rsidRPr="0050193A" w:rsidRDefault="2248451C" w:rsidP="000D134F">
            <w:pPr>
              <w:spacing w:after="0"/>
              <w:jc w:val="right"/>
              <w:rPr>
                <w:sz w:val="14"/>
                <w:szCs w:val="14"/>
              </w:rPr>
            </w:pPr>
            <w:r w:rsidRPr="2248451C">
              <w:rPr>
                <w:sz w:val="14"/>
                <w:szCs w:val="14"/>
              </w:rPr>
              <w:t>105,8</w:t>
            </w:r>
          </w:p>
        </w:tc>
      </w:tr>
      <w:tr w:rsidR="0050193A" w:rsidRPr="0050193A" w14:paraId="3FCC5CCD"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2ED5CBAE" w14:textId="77777777" w:rsidR="0050193A" w:rsidRPr="0050193A" w:rsidRDefault="2248451C" w:rsidP="000D134F">
            <w:pPr>
              <w:spacing w:after="0"/>
              <w:ind w:firstLineChars="400" w:firstLine="560"/>
              <w:jc w:val="left"/>
              <w:rPr>
                <w:i/>
                <w:iCs/>
                <w:sz w:val="14"/>
                <w:szCs w:val="14"/>
              </w:rPr>
            </w:pPr>
            <w:r w:rsidRPr="2248451C">
              <w:rPr>
                <w:i/>
                <w:iCs/>
                <w:sz w:val="14"/>
                <w:szCs w:val="14"/>
              </w:rPr>
              <w:t>fogyatékossági támogatás és vakok személyi járadéka</w:t>
            </w:r>
          </w:p>
        </w:tc>
        <w:tc>
          <w:tcPr>
            <w:tcW w:w="980" w:type="dxa"/>
            <w:tcBorders>
              <w:top w:val="nil"/>
              <w:left w:val="nil"/>
              <w:bottom w:val="single" w:sz="4" w:space="0" w:color="auto"/>
              <w:right w:val="single" w:sz="4" w:space="0" w:color="auto"/>
            </w:tcBorders>
            <w:shd w:val="clear" w:color="auto" w:fill="auto"/>
            <w:noWrap/>
            <w:vAlign w:val="bottom"/>
            <w:hideMark/>
          </w:tcPr>
          <w:p w14:paraId="5AF39977" w14:textId="77777777" w:rsidR="0050193A" w:rsidRPr="0050193A" w:rsidRDefault="2248451C" w:rsidP="000D134F">
            <w:pPr>
              <w:spacing w:after="0"/>
              <w:jc w:val="right"/>
              <w:rPr>
                <w:sz w:val="14"/>
                <w:szCs w:val="14"/>
              </w:rPr>
            </w:pPr>
            <w:r w:rsidRPr="2248451C">
              <w:rPr>
                <w:sz w:val="14"/>
                <w:szCs w:val="14"/>
              </w:rPr>
              <w:t>20,6</w:t>
            </w:r>
          </w:p>
        </w:tc>
        <w:tc>
          <w:tcPr>
            <w:tcW w:w="960" w:type="dxa"/>
            <w:tcBorders>
              <w:top w:val="nil"/>
              <w:left w:val="nil"/>
              <w:bottom w:val="single" w:sz="4" w:space="0" w:color="auto"/>
              <w:right w:val="single" w:sz="4" w:space="0" w:color="auto"/>
            </w:tcBorders>
            <w:shd w:val="clear" w:color="auto" w:fill="auto"/>
            <w:noWrap/>
            <w:vAlign w:val="bottom"/>
            <w:hideMark/>
          </w:tcPr>
          <w:p w14:paraId="4E536077" w14:textId="77777777" w:rsidR="0050193A" w:rsidRPr="0050193A" w:rsidRDefault="2248451C" w:rsidP="000D134F">
            <w:pPr>
              <w:spacing w:after="0"/>
              <w:jc w:val="right"/>
              <w:rPr>
                <w:sz w:val="14"/>
                <w:szCs w:val="14"/>
              </w:rPr>
            </w:pPr>
            <w:r w:rsidRPr="2248451C">
              <w:rPr>
                <w:sz w:val="14"/>
                <w:szCs w:val="14"/>
              </w:rPr>
              <w:t>21,3</w:t>
            </w:r>
          </w:p>
        </w:tc>
        <w:tc>
          <w:tcPr>
            <w:tcW w:w="807" w:type="dxa"/>
            <w:tcBorders>
              <w:top w:val="nil"/>
              <w:left w:val="nil"/>
              <w:bottom w:val="single" w:sz="4" w:space="0" w:color="auto"/>
              <w:right w:val="single" w:sz="4" w:space="0" w:color="auto"/>
            </w:tcBorders>
            <w:shd w:val="clear" w:color="auto" w:fill="auto"/>
            <w:noWrap/>
            <w:vAlign w:val="bottom"/>
            <w:hideMark/>
          </w:tcPr>
          <w:p w14:paraId="6FA8A732" w14:textId="77777777" w:rsidR="0050193A" w:rsidRPr="0050193A" w:rsidRDefault="2248451C" w:rsidP="000D134F">
            <w:pPr>
              <w:spacing w:after="0"/>
              <w:jc w:val="right"/>
              <w:rPr>
                <w:sz w:val="14"/>
                <w:szCs w:val="14"/>
              </w:rPr>
            </w:pPr>
            <w:r w:rsidRPr="2248451C">
              <w:rPr>
                <w:sz w:val="14"/>
                <w:szCs w:val="14"/>
              </w:rPr>
              <w:t>0,7</w:t>
            </w:r>
          </w:p>
        </w:tc>
        <w:tc>
          <w:tcPr>
            <w:tcW w:w="593" w:type="dxa"/>
            <w:tcBorders>
              <w:top w:val="nil"/>
              <w:left w:val="nil"/>
              <w:bottom w:val="single" w:sz="4" w:space="0" w:color="auto"/>
              <w:right w:val="single" w:sz="4" w:space="0" w:color="auto"/>
            </w:tcBorders>
            <w:shd w:val="clear" w:color="auto" w:fill="auto"/>
            <w:noWrap/>
            <w:vAlign w:val="bottom"/>
            <w:hideMark/>
          </w:tcPr>
          <w:p w14:paraId="34230D92" w14:textId="77777777" w:rsidR="0050193A" w:rsidRPr="0050193A" w:rsidRDefault="2248451C" w:rsidP="000D134F">
            <w:pPr>
              <w:spacing w:after="0"/>
              <w:jc w:val="right"/>
              <w:rPr>
                <w:sz w:val="14"/>
                <w:szCs w:val="14"/>
              </w:rPr>
            </w:pPr>
            <w:r w:rsidRPr="2248451C">
              <w:rPr>
                <w:sz w:val="14"/>
                <w:szCs w:val="14"/>
              </w:rPr>
              <w:t>103,4</w:t>
            </w:r>
          </w:p>
        </w:tc>
      </w:tr>
      <w:tr w:rsidR="0050193A" w:rsidRPr="0050193A" w14:paraId="6FDEF9A5"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center"/>
            <w:hideMark/>
          </w:tcPr>
          <w:p w14:paraId="1E10F83F" w14:textId="77777777" w:rsidR="0050193A" w:rsidRPr="0050193A" w:rsidRDefault="2248451C" w:rsidP="000D134F">
            <w:pPr>
              <w:spacing w:after="0"/>
              <w:ind w:firstLineChars="400" w:firstLine="560"/>
              <w:jc w:val="left"/>
              <w:rPr>
                <w:i/>
                <w:iCs/>
                <w:sz w:val="14"/>
                <w:szCs w:val="14"/>
              </w:rPr>
            </w:pPr>
            <w:r w:rsidRPr="2248451C">
              <w:rPr>
                <w:i/>
                <w:iCs/>
                <w:sz w:val="14"/>
                <w:szCs w:val="14"/>
              </w:rPr>
              <w:t>politikai rehabilitációs és más nyugdíj-kiegészítések</w:t>
            </w:r>
          </w:p>
        </w:tc>
        <w:tc>
          <w:tcPr>
            <w:tcW w:w="980" w:type="dxa"/>
            <w:tcBorders>
              <w:top w:val="nil"/>
              <w:left w:val="nil"/>
              <w:bottom w:val="single" w:sz="4" w:space="0" w:color="auto"/>
              <w:right w:val="single" w:sz="4" w:space="0" w:color="auto"/>
            </w:tcBorders>
            <w:shd w:val="clear" w:color="auto" w:fill="auto"/>
            <w:noWrap/>
            <w:vAlign w:val="bottom"/>
            <w:hideMark/>
          </w:tcPr>
          <w:p w14:paraId="0C103F37" w14:textId="77777777" w:rsidR="0050193A" w:rsidRPr="0050193A" w:rsidRDefault="2248451C" w:rsidP="000D134F">
            <w:pPr>
              <w:spacing w:after="0"/>
              <w:jc w:val="right"/>
              <w:rPr>
                <w:sz w:val="14"/>
                <w:szCs w:val="14"/>
              </w:rPr>
            </w:pPr>
            <w:r w:rsidRPr="2248451C">
              <w:rPr>
                <w:sz w:val="14"/>
                <w:szCs w:val="14"/>
              </w:rPr>
              <w:t>8,2</w:t>
            </w:r>
          </w:p>
        </w:tc>
        <w:tc>
          <w:tcPr>
            <w:tcW w:w="960" w:type="dxa"/>
            <w:tcBorders>
              <w:top w:val="nil"/>
              <w:left w:val="nil"/>
              <w:bottom w:val="single" w:sz="4" w:space="0" w:color="auto"/>
              <w:right w:val="single" w:sz="4" w:space="0" w:color="auto"/>
            </w:tcBorders>
            <w:shd w:val="clear" w:color="auto" w:fill="auto"/>
            <w:noWrap/>
            <w:vAlign w:val="bottom"/>
            <w:hideMark/>
          </w:tcPr>
          <w:p w14:paraId="6655C88A" w14:textId="77777777" w:rsidR="0050193A" w:rsidRPr="0050193A" w:rsidRDefault="2248451C" w:rsidP="000D134F">
            <w:pPr>
              <w:spacing w:after="0"/>
              <w:jc w:val="right"/>
              <w:rPr>
                <w:sz w:val="14"/>
                <w:szCs w:val="14"/>
              </w:rPr>
            </w:pPr>
            <w:r w:rsidRPr="2248451C">
              <w:rPr>
                <w:sz w:val="14"/>
                <w:szCs w:val="14"/>
              </w:rPr>
              <w:t>7,8</w:t>
            </w:r>
          </w:p>
        </w:tc>
        <w:tc>
          <w:tcPr>
            <w:tcW w:w="807" w:type="dxa"/>
            <w:tcBorders>
              <w:top w:val="nil"/>
              <w:left w:val="nil"/>
              <w:bottom w:val="single" w:sz="4" w:space="0" w:color="auto"/>
              <w:right w:val="single" w:sz="4" w:space="0" w:color="auto"/>
            </w:tcBorders>
            <w:shd w:val="clear" w:color="auto" w:fill="auto"/>
            <w:noWrap/>
            <w:vAlign w:val="bottom"/>
            <w:hideMark/>
          </w:tcPr>
          <w:p w14:paraId="03FB52BE" w14:textId="77777777" w:rsidR="0050193A" w:rsidRPr="0050193A" w:rsidRDefault="2248451C" w:rsidP="000D134F">
            <w:pPr>
              <w:spacing w:after="0"/>
              <w:jc w:val="right"/>
              <w:rPr>
                <w:sz w:val="14"/>
                <w:szCs w:val="14"/>
              </w:rPr>
            </w:pPr>
            <w:r w:rsidRPr="2248451C">
              <w:rPr>
                <w:sz w:val="14"/>
                <w:szCs w:val="14"/>
              </w:rPr>
              <w:t>-0,4</w:t>
            </w:r>
          </w:p>
        </w:tc>
        <w:tc>
          <w:tcPr>
            <w:tcW w:w="593" w:type="dxa"/>
            <w:tcBorders>
              <w:top w:val="nil"/>
              <w:left w:val="nil"/>
              <w:bottom w:val="single" w:sz="4" w:space="0" w:color="auto"/>
              <w:right w:val="single" w:sz="4" w:space="0" w:color="auto"/>
            </w:tcBorders>
            <w:shd w:val="clear" w:color="auto" w:fill="auto"/>
            <w:noWrap/>
            <w:vAlign w:val="bottom"/>
            <w:hideMark/>
          </w:tcPr>
          <w:p w14:paraId="5BA1F91F" w14:textId="77777777" w:rsidR="0050193A" w:rsidRPr="0050193A" w:rsidRDefault="2248451C" w:rsidP="000D134F">
            <w:pPr>
              <w:spacing w:after="0"/>
              <w:jc w:val="right"/>
              <w:rPr>
                <w:sz w:val="14"/>
                <w:szCs w:val="14"/>
              </w:rPr>
            </w:pPr>
            <w:r w:rsidRPr="2248451C">
              <w:rPr>
                <w:sz w:val="14"/>
                <w:szCs w:val="14"/>
              </w:rPr>
              <w:t>95,1</w:t>
            </w:r>
          </w:p>
        </w:tc>
      </w:tr>
      <w:tr w:rsidR="0050193A" w:rsidRPr="0050193A" w14:paraId="5C6F8A37"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581C118C" w14:textId="77777777" w:rsidR="0050193A" w:rsidRPr="0050193A" w:rsidRDefault="2248451C" w:rsidP="000D134F">
            <w:pPr>
              <w:spacing w:after="0"/>
              <w:jc w:val="left"/>
              <w:rPr>
                <w:b/>
                <w:bCs/>
                <w:sz w:val="14"/>
                <w:szCs w:val="14"/>
              </w:rPr>
            </w:pPr>
            <w:r w:rsidRPr="2248451C">
              <w:rPr>
                <w:b/>
                <w:bCs/>
                <w:sz w:val="14"/>
                <w:szCs w:val="14"/>
              </w:rPr>
              <w:t>Különféle jogcímen adott térítések</w:t>
            </w:r>
          </w:p>
        </w:tc>
        <w:tc>
          <w:tcPr>
            <w:tcW w:w="980" w:type="dxa"/>
            <w:tcBorders>
              <w:top w:val="nil"/>
              <w:left w:val="nil"/>
              <w:bottom w:val="single" w:sz="4" w:space="0" w:color="auto"/>
              <w:right w:val="single" w:sz="4" w:space="0" w:color="auto"/>
            </w:tcBorders>
            <w:shd w:val="clear" w:color="auto" w:fill="auto"/>
            <w:noWrap/>
            <w:vAlign w:val="bottom"/>
            <w:hideMark/>
          </w:tcPr>
          <w:p w14:paraId="47DA0332" w14:textId="77777777" w:rsidR="0050193A" w:rsidRPr="0050193A" w:rsidRDefault="2248451C" w:rsidP="000D134F">
            <w:pPr>
              <w:spacing w:after="0"/>
              <w:jc w:val="right"/>
              <w:rPr>
                <w:b/>
                <w:bCs/>
                <w:sz w:val="14"/>
                <w:szCs w:val="14"/>
              </w:rPr>
            </w:pPr>
            <w:r w:rsidRPr="2248451C">
              <w:rPr>
                <w:b/>
                <w:bCs/>
                <w:sz w:val="14"/>
                <w:szCs w:val="14"/>
              </w:rPr>
              <w:t>13,6</w:t>
            </w:r>
          </w:p>
        </w:tc>
        <w:tc>
          <w:tcPr>
            <w:tcW w:w="960" w:type="dxa"/>
            <w:tcBorders>
              <w:top w:val="nil"/>
              <w:left w:val="nil"/>
              <w:bottom w:val="single" w:sz="4" w:space="0" w:color="auto"/>
              <w:right w:val="single" w:sz="4" w:space="0" w:color="auto"/>
            </w:tcBorders>
            <w:shd w:val="clear" w:color="auto" w:fill="auto"/>
            <w:noWrap/>
            <w:vAlign w:val="bottom"/>
            <w:hideMark/>
          </w:tcPr>
          <w:p w14:paraId="11B97F1E" w14:textId="77777777" w:rsidR="0050193A" w:rsidRPr="0050193A" w:rsidRDefault="2248451C" w:rsidP="000D134F">
            <w:pPr>
              <w:spacing w:after="0"/>
              <w:jc w:val="right"/>
              <w:rPr>
                <w:b/>
                <w:bCs/>
                <w:sz w:val="14"/>
                <w:szCs w:val="14"/>
              </w:rPr>
            </w:pPr>
            <w:r w:rsidRPr="2248451C">
              <w:rPr>
                <w:b/>
                <w:bCs/>
                <w:sz w:val="14"/>
                <w:szCs w:val="14"/>
              </w:rPr>
              <w:t>14,2</w:t>
            </w:r>
          </w:p>
        </w:tc>
        <w:tc>
          <w:tcPr>
            <w:tcW w:w="807" w:type="dxa"/>
            <w:tcBorders>
              <w:top w:val="nil"/>
              <w:left w:val="nil"/>
              <w:bottom w:val="single" w:sz="4" w:space="0" w:color="auto"/>
              <w:right w:val="single" w:sz="4" w:space="0" w:color="auto"/>
            </w:tcBorders>
            <w:shd w:val="clear" w:color="auto" w:fill="auto"/>
            <w:noWrap/>
            <w:vAlign w:val="bottom"/>
            <w:hideMark/>
          </w:tcPr>
          <w:p w14:paraId="144E4F3C" w14:textId="77777777" w:rsidR="0050193A" w:rsidRPr="0050193A" w:rsidRDefault="2248451C" w:rsidP="000D134F">
            <w:pPr>
              <w:spacing w:after="0"/>
              <w:jc w:val="right"/>
              <w:rPr>
                <w:b/>
                <w:bCs/>
                <w:sz w:val="14"/>
                <w:szCs w:val="14"/>
              </w:rPr>
            </w:pPr>
            <w:r w:rsidRPr="2248451C">
              <w:rPr>
                <w:b/>
                <w:bCs/>
                <w:sz w:val="14"/>
                <w:szCs w:val="14"/>
              </w:rPr>
              <w:t>0,6</w:t>
            </w:r>
          </w:p>
        </w:tc>
        <w:tc>
          <w:tcPr>
            <w:tcW w:w="593" w:type="dxa"/>
            <w:tcBorders>
              <w:top w:val="nil"/>
              <w:left w:val="nil"/>
              <w:bottom w:val="single" w:sz="4" w:space="0" w:color="auto"/>
              <w:right w:val="single" w:sz="4" w:space="0" w:color="auto"/>
            </w:tcBorders>
            <w:shd w:val="clear" w:color="auto" w:fill="auto"/>
            <w:noWrap/>
            <w:vAlign w:val="bottom"/>
            <w:hideMark/>
          </w:tcPr>
          <w:p w14:paraId="1B426027" w14:textId="77777777" w:rsidR="0050193A" w:rsidRPr="0050193A" w:rsidRDefault="2248451C" w:rsidP="000D134F">
            <w:pPr>
              <w:spacing w:after="0"/>
              <w:jc w:val="right"/>
              <w:rPr>
                <w:b/>
                <w:bCs/>
                <w:sz w:val="14"/>
                <w:szCs w:val="14"/>
              </w:rPr>
            </w:pPr>
            <w:r w:rsidRPr="2248451C">
              <w:rPr>
                <w:b/>
                <w:bCs/>
                <w:sz w:val="14"/>
                <w:szCs w:val="14"/>
              </w:rPr>
              <w:t>104,4</w:t>
            </w:r>
          </w:p>
        </w:tc>
      </w:tr>
      <w:tr w:rsidR="0050193A" w:rsidRPr="0050193A" w14:paraId="4BF5DA60"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E1635D9" w14:textId="77777777" w:rsidR="0050193A" w:rsidRPr="0050193A" w:rsidRDefault="2248451C" w:rsidP="000D134F">
            <w:pPr>
              <w:spacing w:after="0"/>
              <w:ind w:firstLineChars="100" w:firstLine="140"/>
              <w:jc w:val="left"/>
              <w:rPr>
                <w:i/>
                <w:iCs/>
                <w:sz w:val="14"/>
                <w:szCs w:val="14"/>
              </w:rPr>
            </w:pPr>
            <w:r w:rsidRPr="2248451C">
              <w:rPr>
                <w:i/>
                <w:iCs/>
                <w:sz w:val="14"/>
                <w:szCs w:val="14"/>
              </w:rPr>
              <w:t xml:space="preserve">Ebből: </w:t>
            </w:r>
          </w:p>
        </w:tc>
        <w:tc>
          <w:tcPr>
            <w:tcW w:w="980" w:type="dxa"/>
            <w:tcBorders>
              <w:top w:val="nil"/>
              <w:left w:val="nil"/>
              <w:bottom w:val="single" w:sz="4" w:space="0" w:color="auto"/>
              <w:right w:val="single" w:sz="4" w:space="0" w:color="auto"/>
            </w:tcBorders>
            <w:shd w:val="clear" w:color="auto" w:fill="auto"/>
            <w:noWrap/>
            <w:vAlign w:val="bottom"/>
            <w:hideMark/>
          </w:tcPr>
          <w:p w14:paraId="751CA5D0" w14:textId="77777777" w:rsidR="0050193A" w:rsidRPr="0050193A" w:rsidRDefault="2248451C" w:rsidP="000D134F">
            <w:pPr>
              <w:spacing w:after="0"/>
              <w:jc w:val="right"/>
              <w:rPr>
                <w:sz w:val="14"/>
                <w:szCs w:val="14"/>
              </w:rPr>
            </w:pPr>
            <w:r w:rsidRPr="2248451C">
              <w:rPr>
                <w:sz w:val="14"/>
                <w:szCs w:val="14"/>
              </w:rPr>
              <w:t> </w:t>
            </w:r>
          </w:p>
        </w:tc>
        <w:tc>
          <w:tcPr>
            <w:tcW w:w="960" w:type="dxa"/>
            <w:tcBorders>
              <w:top w:val="nil"/>
              <w:left w:val="nil"/>
              <w:bottom w:val="single" w:sz="4" w:space="0" w:color="auto"/>
              <w:right w:val="single" w:sz="4" w:space="0" w:color="auto"/>
            </w:tcBorders>
            <w:shd w:val="clear" w:color="auto" w:fill="auto"/>
            <w:noWrap/>
            <w:vAlign w:val="bottom"/>
            <w:hideMark/>
          </w:tcPr>
          <w:p w14:paraId="6712108D" w14:textId="77777777" w:rsidR="0050193A" w:rsidRPr="0050193A" w:rsidRDefault="2248451C" w:rsidP="000D134F">
            <w:pPr>
              <w:spacing w:after="0"/>
              <w:jc w:val="right"/>
              <w:rPr>
                <w:sz w:val="14"/>
                <w:szCs w:val="14"/>
              </w:rPr>
            </w:pPr>
            <w:r w:rsidRPr="2248451C">
              <w:rPr>
                <w:sz w:val="14"/>
                <w:szCs w:val="14"/>
              </w:rPr>
              <w:t> </w:t>
            </w:r>
          </w:p>
        </w:tc>
        <w:tc>
          <w:tcPr>
            <w:tcW w:w="807" w:type="dxa"/>
            <w:tcBorders>
              <w:top w:val="nil"/>
              <w:left w:val="nil"/>
              <w:bottom w:val="single" w:sz="4" w:space="0" w:color="auto"/>
              <w:right w:val="single" w:sz="4" w:space="0" w:color="auto"/>
            </w:tcBorders>
            <w:shd w:val="clear" w:color="auto" w:fill="auto"/>
            <w:noWrap/>
            <w:vAlign w:val="bottom"/>
            <w:hideMark/>
          </w:tcPr>
          <w:p w14:paraId="3B11D1F5" w14:textId="77777777" w:rsidR="0050193A" w:rsidRPr="0050193A" w:rsidRDefault="2248451C" w:rsidP="000D134F">
            <w:pPr>
              <w:spacing w:after="0"/>
              <w:jc w:val="right"/>
              <w:rPr>
                <w:sz w:val="14"/>
                <w:szCs w:val="14"/>
              </w:rPr>
            </w:pPr>
            <w:r w:rsidRPr="2248451C">
              <w:rPr>
                <w:sz w:val="14"/>
                <w:szCs w:val="14"/>
              </w:rPr>
              <w:t> </w:t>
            </w:r>
          </w:p>
        </w:tc>
        <w:tc>
          <w:tcPr>
            <w:tcW w:w="593" w:type="dxa"/>
            <w:tcBorders>
              <w:top w:val="nil"/>
              <w:left w:val="nil"/>
              <w:bottom w:val="single" w:sz="4" w:space="0" w:color="auto"/>
              <w:right w:val="single" w:sz="4" w:space="0" w:color="auto"/>
            </w:tcBorders>
            <w:shd w:val="clear" w:color="auto" w:fill="auto"/>
            <w:noWrap/>
            <w:vAlign w:val="bottom"/>
            <w:hideMark/>
          </w:tcPr>
          <w:p w14:paraId="35B06A96" w14:textId="77777777" w:rsidR="0050193A" w:rsidRPr="0050193A" w:rsidRDefault="2248451C" w:rsidP="000D134F">
            <w:pPr>
              <w:spacing w:after="0"/>
              <w:jc w:val="right"/>
              <w:rPr>
                <w:sz w:val="14"/>
                <w:szCs w:val="14"/>
              </w:rPr>
            </w:pPr>
            <w:r w:rsidRPr="2248451C">
              <w:rPr>
                <w:sz w:val="14"/>
                <w:szCs w:val="14"/>
              </w:rPr>
              <w:t> </w:t>
            </w:r>
          </w:p>
        </w:tc>
      </w:tr>
      <w:tr w:rsidR="0050193A" w:rsidRPr="0050193A" w14:paraId="61838EE3"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1C78591" w14:textId="77777777" w:rsidR="0050193A" w:rsidRPr="0050193A" w:rsidRDefault="2248451C" w:rsidP="000D134F">
            <w:pPr>
              <w:spacing w:after="0"/>
              <w:ind w:firstLineChars="400" w:firstLine="560"/>
              <w:jc w:val="left"/>
              <w:rPr>
                <w:i/>
                <w:iCs/>
                <w:sz w:val="14"/>
                <w:szCs w:val="14"/>
              </w:rPr>
            </w:pPr>
            <w:r w:rsidRPr="2248451C">
              <w:rPr>
                <w:i/>
                <w:iCs/>
                <w:sz w:val="14"/>
                <w:szCs w:val="14"/>
              </w:rPr>
              <w:t>közgyógyellátás</w:t>
            </w:r>
          </w:p>
        </w:tc>
        <w:tc>
          <w:tcPr>
            <w:tcW w:w="980" w:type="dxa"/>
            <w:tcBorders>
              <w:top w:val="nil"/>
              <w:left w:val="nil"/>
              <w:bottom w:val="single" w:sz="4" w:space="0" w:color="auto"/>
              <w:right w:val="single" w:sz="4" w:space="0" w:color="auto"/>
            </w:tcBorders>
            <w:shd w:val="clear" w:color="auto" w:fill="auto"/>
            <w:noWrap/>
            <w:vAlign w:val="bottom"/>
            <w:hideMark/>
          </w:tcPr>
          <w:p w14:paraId="4E5BECB5" w14:textId="77777777" w:rsidR="0050193A" w:rsidRPr="0050193A" w:rsidRDefault="2248451C" w:rsidP="000D134F">
            <w:pPr>
              <w:spacing w:after="0"/>
              <w:jc w:val="right"/>
              <w:rPr>
                <w:sz w:val="14"/>
                <w:szCs w:val="14"/>
              </w:rPr>
            </w:pPr>
            <w:r w:rsidRPr="2248451C">
              <w:rPr>
                <w:sz w:val="14"/>
                <w:szCs w:val="14"/>
              </w:rPr>
              <w:t>9,3</w:t>
            </w:r>
          </w:p>
        </w:tc>
        <w:tc>
          <w:tcPr>
            <w:tcW w:w="960" w:type="dxa"/>
            <w:tcBorders>
              <w:top w:val="nil"/>
              <w:left w:val="nil"/>
              <w:bottom w:val="single" w:sz="4" w:space="0" w:color="auto"/>
              <w:right w:val="single" w:sz="4" w:space="0" w:color="auto"/>
            </w:tcBorders>
            <w:shd w:val="clear" w:color="auto" w:fill="auto"/>
            <w:noWrap/>
            <w:vAlign w:val="bottom"/>
            <w:hideMark/>
          </w:tcPr>
          <w:p w14:paraId="3794BE36" w14:textId="77777777" w:rsidR="0050193A" w:rsidRPr="0050193A" w:rsidRDefault="2248451C" w:rsidP="000D134F">
            <w:pPr>
              <w:spacing w:after="0"/>
              <w:jc w:val="right"/>
              <w:rPr>
                <w:sz w:val="14"/>
                <w:szCs w:val="14"/>
              </w:rPr>
            </w:pPr>
            <w:r w:rsidRPr="2248451C">
              <w:rPr>
                <w:sz w:val="14"/>
                <w:szCs w:val="14"/>
              </w:rPr>
              <w:t>9,9</w:t>
            </w:r>
          </w:p>
        </w:tc>
        <w:tc>
          <w:tcPr>
            <w:tcW w:w="807" w:type="dxa"/>
            <w:tcBorders>
              <w:top w:val="nil"/>
              <w:left w:val="nil"/>
              <w:bottom w:val="single" w:sz="4" w:space="0" w:color="auto"/>
              <w:right w:val="single" w:sz="4" w:space="0" w:color="auto"/>
            </w:tcBorders>
            <w:shd w:val="clear" w:color="auto" w:fill="auto"/>
            <w:noWrap/>
            <w:vAlign w:val="bottom"/>
            <w:hideMark/>
          </w:tcPr>
          <w:p w14:paraId="6051EB04" w14:textId="77777777" w:rsidR="0050193A" w:rsidRPr="0050193A" w:rsidRDefault="2248451C" w:rsidP="000D134F">
            <w:pPr>
              <w:spacing w:after="0"/>
              <w:jc w:val="right"/>
              <w:rPr>
                <w:sz w:val="14"/>
                <w:szCs w:val="14"/>
              </w:rPr>
            </w:pPr>
            <w:r w:rsidRPr="2248451C">
              <w:rPr>
                <w:sz w:val="14"/>
                <w:szCs w:val="14"/>
              </w:rPr>
              <w:t>0,6</w:t>
            </w:r>
          </w:p>
        </w:tc>
        <w:tc>
          <w:tcPr>
            <w:tcW w:w="593" w:type="dxa"/>
            <w:tcBorders>
              <w:top w:val="nil"/>
              <w:left w:val="nil"/>
              <w:bottom w:val="single" w:sz="4" w:space="0" w:color="auto"/>
              <w:right w:val="single" w:sz="4" w:space="0" w:color="auto"/>
            </w:tcBorders>
            <w:shd w:val="clear" w:color="auto" w:fill="auto"/>
            <w:noWrap/>
            <w:vAlign w:val="bottom"/>
            <w:hideMark/>
          </w:tcPr>
          <w:p w14:paraId="41B1EAA5" w14:textId="77777777" w:rsidR="0050193A" w:rsidRPr="0050193A" w:rsidRDefault="2248451C" w:rsidP="000D134F">
            <w:pPr>
              <w:spacing w:after="0"/>
              <w:jc w:val="right"/>
              <w:rPr>
                <w:sz w:val="14"/>
                <w:szCs w:val="14"/>
              </w:rPr>
            </w:pPr>
            <w:r w:rsidRPr="2248451C">
              <w:rPr>
                <w:sz w:val="14"/>
                <w:szCs w:val="14"/>
              </w:rPr>
              <w:t>106,5</w:t>
            </w:r>
          </w:p>
        </w:tc>
      </w:tr>
      <w:tr w:rsidR="0050193A" w:rsidRPr="0050193A" w14:paraId="10D21A92" w14:textId="77777777" w:rsidTr="000D134F">
        <w:trPr>
          <w:trHeight w:val="21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F0D773B" w14:textId="77777777" w:rsidR="0050193A" w:rsidRPr="0050193A" w:rsidRDefault="2248451C" w:rsidP="000D134F">
            <w:pPr>
              <w:spacing w:after="0"/>
              <w:jc w:val="left"/>
              <w:rPr>
                <w:b/>
                <w:bCs/>
                <w:sz w:val="14"/>
                <w:szCs w:val="14"/>
              </w:rPr>
            </w:pPr>
            <w:r w:rsidRPr="2248451C">
              <w:rPr>
                <w:b/>
                <w:bCs/>
                <w:sz w:val="14"/>
                <w:szCs w:val="14"/>
              </w:rPr>
              <w:t>Összesen</w:t>
            </w:r>
          </w:p>
        </w:tc>
        <w:tc>
          <w:tcPr>
            <w:tcW w:w="980" w:type="dxa"/>
            <w:tcBorders>
              <w:top w:val="nil"/>
              <w:left w:val="nil"/>
              <w:bottom w:val="single" w:sz="4" w:space="0" w:color="auto"/>
              <w:right w:val="single" w:sz="4" w:space="0" w:color="auto"/>
            </w:tcBorders>
            <w:shd w:val="clear" w:color="auto" w:fill="auto"/>
            <w:noWrap/>
            <w:vAlign w:val="bottom"/>
            <w:hideMark/>
          </w:tcPr>
          <w:p w14:paraId="12A3C0F8" w14:textId="77777777" w:rsidR="0050193A" w:rsidRPr="0050193A" w:rsidRDefault="2248451C" w:rsidP="000D134F">
            <w:pPr>
              <w:spacing w:after="0"/>
              <w:jc w:val="right"/>
              <w:rPr>
                <w:b/>
                <w:bCs/>
                <w:sz w:val="14"/>
                <w:szCs w:val="14"/>
              </w:rPr>
            </w:pPr>
            <w:r w:rsidRPr="2248451C">
              <w:rPr>
                <w:b/>
                <w:bCs/>
                <w:sz w:val="14"/>
                <w:szCs w:val="14"/>
              </w:rPr>
              <w:t>383,2</w:t>
            </w:r>
          </w:p>
        </w:tc>
        <w:tc>
          <w:tcPr>
            <w:tcW w:w="960" w:type="dxa"/>
            <w:tcBorders>
              <w:top w:val="nil"/>
              <w:left w:val="nil"/>
              <w:bottom w:val="single" w:sz="4" w:space="0" w:color="auto"/>
              <w:right w:val="single" w:sz="4" w:space="0" w:color="auto"/>
            </w:tcBorders>
            <w:shd w:val="clear" w:color="auto" w:fill="auto"/>
            <w:noWrap/>
            <w:vAlign w:val="bottom"/>
            <w:hideMark/>
          </w:tcPr>
          <w:p w14:paraId="2F2E95DA" w14:textId="77777777" w:rsidR="0050193A" w:rsidRPr="0050193A" w:rsidRDefault="2248451C" w:rsidP="000D134F">
            <w:pPr>
              <w:spacing w:after="0"/>
              <w:jc w:val="right"/>
              <w:rPr>
                <w:b/>
                <w:bCs/>
                <w:sz w:val="14"/>
                <w:szCs w:val="14"/>
              </w:rPr>
            </w:pPr>
            <w:r w:rsidRPr="2248451C">
              <w:rPr>
                <w:b/>
                <w:bCs/>
                <w:sz w:val="14"/>
                <w:szCs w:val="14"/>
              </w:rPr>
              <w:t>387,1</w:t>
            </w:r>
          </w:p>
        </w:tc>
        <w:tc>
          <w:tcPr>
            <w:tcW w:w="807" w:type="dxa"/>
            <w:tcBorders>
              <w:top w:val="nil"/>
              <w:left w:val="nil"/>
              <w:bottom w:val="single" w:sz="4" w:space="0" w:color="auto"/>
              <w:right w:val="single" w:sz="4" w:space="0" w:color="auto"/>
            </w:tcBorders>
            <w:shd w:val="clear" w:color="auto" w:fill="auto"/>
            <w:noWrap/>
            <w:vAlign w:val="bottom"/>
            <w:hideMark/>
          </w:tcPr>
          <w:p w14:paraId="2937A908" w14:textId="77777777" w:rsidR="0050193A" w:rsidRPr="0050193A" w:rsidRDefault="2248451C" w:rsidP="000D134F">
            <w:pPr>
              <w:spacing w:after="0"/>
              <w:jc w:val="right"/>
              <w:rPr>
                <w:b/>
                <w:bCs/>
                <w:sz w:val="14"/>
                <w:szCs w:val="14"/>
              </w:rPr>
            </w:pPr>
            <w:r w:rsidRPr="2248451C">
              <w:rPr>
                <w:b/>
                <w:bCs/>
                <w:sz w:val="14"/>
                <w:szCs w:val="14"/>
              </w:rPr>
              <w:t>3,9</w:t>
            </w:r>
          </w:p>
        </w:tc>
        <w:tc>
          <w:tcPr>
            <w:tcW w:w="593" w:type="dxa"/>
            <w:tcBorders>
              <w:top w:val="nil"/>
              <w:left w:val="nil"/>
              <w:bottom w:val="single" w:sz="4" w:space="0" w:color="auto"/>
              <w:right w:val="single" w:sz="4" w:space="0" w:color="auto"/>
            </w:tcBorders>
            <w:shd w:val="clear" w:color="auto" w:fill="auto"/>
            <w:noWrap/>
            <w:vAlign w:val="bottom"/>
            <w:hideMark/>
          </w:tcPr>
          <w:p w14:paraId="575C73C4" w14:textId="77777777" w:rsidR="0050193A" w:rsidRPr="0050193A" w:rsidRDefault="2248451C" w:rsidP="000D134F">
            <w:pPr>
              <w:spacing w:after="0"/>
              <w:jc w:val="right"/>
              <w:rPr>
                <w:b/>
                <w:bCs/>
                <w:sz w:val="14"/>
                <w:szCs w:val="14"/>
              </w:rPr>
            </w:pPr>
            <w:r w:rsidRPr="2248451C">
              <w:rPr>
                <w:b/>
                <w:bCs/>
                <w:sz w:val="14"/>
                <w:szCs w:val="14"/>
              </w:rPr>
              <w:t>101,0</w:t>
            </w:r>
          </w:p>
        </w:tc>
      </w:tr>
    </w:tbl>
    <w:p w14:paraId="7187CCA4" w14:textId="77777777" w:rsidR="009F77CF" w:rsidRDefault="009F77CF" w:rsidP="000D134F"/>
    <w:p w14:paraId="7D051345" w14:textId="4AED3502" w:rsidR="000253CA" w:rsidRPr="000253CA" w:rsidRDefault="2248451C" w:rsidP="000D134F">
      <w:pPr>
        <w:rPr>
          <w:rFonts w:cs="Tahoma"/>
          <w:color w:val="000000" w:themeColor="text1"/>
        </w:rPr>
      </w:pPr>
      <w:r w:rsidRPr="2248451C">
        <w:rPr>
          <w:rFonts w:cs="Tahoma"/>
          <w:color w:val="000000" w:themeColor="text1"/>
        </w:rPr>
        <w:t xml:space="preserve">A </w:t>
      </w:r>
      <w:r w:rsidRPr="2248451C">
        <w:rPr>
          <w:rFonts w:cs="Tahoma"/>
          <w:b/>
          <w:bCs/>
          <w:color w:val="000000" w:themeColor="text1"/>
        </w:rPr>
        <w:t>családi támogatásokra</w:t>
      </w:r>
      <w:r w:rsidRPr="2248451C">
        <w:rPr>
          <w:rFonts w:cs="Tahoma"/>
          <w:color w:val="000000" w:themeColor="text1"/>
        </w:rPr>
        <w:t xml:space="preserve"> 2020. július végéig kifizetett összeg (235,1 milliárd forint) 0,6%-kal magasabb volt az előző év azonos időszakának teljesítéséhez viszonyítva. Ezek közül az életkezdési támogatásra fordított összeg 0,9 milliárd forinttal haladta meg a 2019. július végi teljesítést. Az idei kiadás azért magasabb a tavalyi év azonos időszakához képest, mert az életkezdési letéti számlákon nyilvántartott követelés összege, és az erre az összegre tekintettel fizetett kamat mértéke is magasabb volt a tavalyihoz képest. Emellett magasabban teljesültek az előző év azonos időszakához képest a gyermekgondozást segítő ellátásra, a gyermeknevelési ellátásra, valamint az anyasági támogatásra és a gyermekek születésével kapcsolatos szabadság megtérítésére fordított összegek is. Az anyasági támogatás esetében ennek oka az, hogy a jogosultak száma a tavalyi év azonos időszakához képest – a születésszám emelkedésére tekintettel – magasabb volt, míg a gyermekek születésével kapcsolatos szabadság megtérítésére fordított összeg az átlagkereset emelkedésével összefüggésben nőtt. A gyermekgondozást segítő ellátás és a gyermeknevelési támogatás kiadását befolyásolta, hogy az élet- és vagyonbiztonságot veszélyeztető tömeges megbetegedést okozó humánjárvány következményeinek elhárítása, a magyar állampolgárok egészségének és életének megóvása érdekében kihirdetett veszélyhelyzet ideje alatt lejárt ellátások június 30-áig meghosszabb</w:t>
      </w:r>
      <w:r w:rsidR="002D2507">
        <w:rPr>
          <w:rFonts w:cs="Tahoma"/>
          <w:color w:val="000000" w:themeColor="text1"/>
        </w:rPr>
        <w:t>ításra kerültek.</w:t>
      </w:r>
      <w:r w:rsidRPr="2248451C">
        <w:rPr>
          <w:rFonts w:cs="Tahoma"/>
          <w:color w:val="000000" w:themeColor="text1"/>
        </w:rPr>
        <w:t xml:space="preserve"> </w:t>
      </w:r>
      <w:r w:rsidR="002D2507" w:rsidRPr="2248451C">
        <w:rPr>
          <w:rFonts w:cs="Tahoma"/>
          <w:color w:val="000000" w:themeColor="text1"/>
        </w:rPr>
        <w:t>A családi pótlék esetében a csökkenés (1,0 milliárd forint) oka az, hogy a jogosultak száma – az ellátásból kilépők miatt – kismértékben mérséklődött az előző év azonos időszakához képest.</w:t>
      </w:r>
    </w:p>
    <w:p w14:paraId="46C12FE2" w14:textId="77777777" w:rsidR="000253CA" w:rsidRPr="000253CA" w:rsidRDefault="2248451C" w:rsidP="2248451C">
      <w:pPr>
        <w:rPr>
          <w:rFonts w:cs="Tahoma"/>
          <w:color w:val="000000" w:themeColor="text1"/>
        </w:rPr>
      </w:pPr>
      <w:r w:rsidRPr="2248451C">
        <w:rPr>
          <w:rFonts w:cs="Tahoma"/>
          <w:color w:val="000000" w:themeColor="text1"/>
        </w:rPr>
        <w:t xml:space="preserve">A </w:t>
      </w:r>
      <w:r w:rsidRPr="2248451C">
        <w:rPr>
          <w:rFonts w:cs="Tahoma"/>
          <w:b/>
          <w:bCs/>
          <w:color w:val="000000" w:themeColor="text1"/>
        </w:rPr>
        <w:t>korhatár alatti ellátásokra</w:t>
      </w:r>
      <w:r w:rsidRPr="2248451C">
        <w:rPr>
          <w:rFonts w:cs="Tahoma"/>
          <w:color w:val="000000" w:themeColor="text1"/>
        </w:rPr>
        <w:t xml:space="preserve"> idén az első hét hónapban 53,7 milliárd forintot folyósítottak, amely 0,5 milliárd forinttal alacsonyabb az előző év azonos időszakában e célra kifizetett összegnél. Ebből korhatár előtti ellátásra és táncművészeti életjáradékra 12,4 milliárd forintot, a szolgálati járandóságra pedig 41,3 milliárd forintot folyósítottak. Az adatok tartalmazzák ezen ellátások januárban végrehajtott emelésének (a nyugdíjakra vonatkozó szabályok szerint végrehajtott 2020. évi januári 2,8%-os emelés, valamint a 2019. évi novemberi 0,7%-os kiegészítő emelés) hatását. A korhatár előtti ellátásban és a szolgálati járandóságban részesülők közül azok, akik elérik a nyugdíjkorhatárt, öregségi nyugdíjra válnak jogosulttá. A szolgálati járandóságra fordított kiadás ezzel </w:t>
      </w:r>
      <w:r w:rsidRPr="2248451C">
        <w:rPr>
          <w:rFonts w:cs="Tahoma"/>
          <w:color w:val="000000" w:themeColor="text1"/>
        </w:rPr>
        <w:lastRenderedPageBreak/>
        <w:t xml:space="preserve">összefüggésben csökkent. A korhatár előtti ellátásban részesülők létszáma és a kapcsolódó kiadás ugyanakkor növekedett, mivel azok, akik 2014. december 31-e előtt korkedvezményre szereztek jogosultságot, még új belépőként jelenhetnek meg a korhatár előtti ellátásra jogosultak körében. </w:t>
      </w:r>
    </w:p>
    <w:p w14:paraId="7C56C7A4" w14:textId="77777777" w:rsidR="000253CA" w:rsidRPr="000253CA" w:rsidRDefault="2248451C" w:rsidP="2248451C">
      <w:pPr>
        <w:rPr>
          <w:rFonts w:cs="Tahoma"/>
          <w:color w:val="000000" w:themeColor="text1"/>
        </w:rPr>
      </w:pPr>
      <w:r w:rsidRPr="2248451C">
        <w:rPr>
          <w:rFonts w:cs="Tahoma"/>
          <w:color w:val="000000" w:themeColor="text1"/>
        </w:rPr>
        <w:t xml:space="preserve">2020. július végéig a </w:t>
      </w:r>
      <w:r w:rsidRPr="2248451C">
        <w:rPr>
          <w:rFonts w:cs="Tahoma"/>
          <w:b/>
          <w:bCs/>
          <w:color w:val="000000" w:themeColor="text1"/>
        </w:rPr>
        <w:t>jövedelempótló és jövedelemkiegészítő szociális támogatásokra</w:t>
      </w:r>
      <w:r w:rsidRPr="2248451C">
        <w:rPr>
          <w:rFonts w:cs="Tahoma"/>
          <w:color w:val="000000" w:themeColor="text1"/>
        </w:rPr>
        <w:t xml:space="preserve"> 84,1 milliárd forintot fizettek ki, mely 2,5 milliárd forinttal haladta meg az egy évvel korábbi kiadást. A jövedelempótló és jövedelemkiegészítő szociális támogatásokon belül a legnagyobb összeget (47,5 milliárd forint) a járási szociális feladatok ellátására (gyermekek otthongondozási díja, ápolási díj, időskorúak járadéka, foglalkoztatást helyettesítő támogatás, egészségkárosodási és gyermekfelügyeleti támogatás) fordították, e kiadások 2,6 milliárd forinttal haladták meg az előző évi első héthavi kiadásokat. Az adatok tartalmazzák az ápolási díj 5%-os, valamint a gyermekek otthongondozási díja közel 24%-os emelésének hatását. 2020 első hét hónapjában a fogyatékossági támogatásra és a vakok személyi járadékára folyósított összeg (21,3 milliárd forint) 0,7 milliárd forinttal magasabb volt az előző évi azonos időszaki kifizetésnél, tekintettel arra, hogy a fogyatékossági támogatásnak és a vakok személyi járadékának az összege januárban a nyugdíjemelésre vonatkozó szabályok szerint emelkedett, ugyanakkor a jogosultak száma kismértékben csökken. A politikai rehabilitációs és más nyugdíj-kiegészítéseknél (7,8 milliárd forint), továbbá egyéb kisebb ellátásoknál (például mezőgazdasági járadék, házastársi pótlék) viszont csökkenés látható, figyelemmel arra, hogy ezek kifutó jellegű ellátások. </w:t>
      </w:r>
    </w:p>
    <w:p w14:paraId="2835D6EA" w14:textId="77777777" w:rsidR="000253CA" w:rsidRPr="000253CA" w:rsidRDefault="2248451C" w:rsidP="2248451C">
      <w:pPr>
        <w:rPr>
          <w:rFonts w:cs="Tahoma"/>
          <w:color w:val="000000" w:themeColor="text1"/>
        </w:rPr>
      </w:pPr>
      <w:r w:rsidRPr="2248451C">
        <w:rPr>
          <w:rFonts w:cs="Tahoma"/>
          <w:color w:val="000000" w:themeColor="text1"/>
        </w:rPr>
        <w:t xml:space="preserve">A </w:t>
      </w:r>
      <w:r w:rsidRPr="2248451C">
        <w:rPr>
          <w:rFonts w:cs="Tahoma"/>
          <w:b/>
          <w:bCs/>
          <w:color w:val="000000" w:themeColor="text1"/>
        </w:rPr>
        <w:t>különféle jogcímen adott térítések</w:t>
      </w:r>
      <w:r w:rsidRPr="2248451C">
        <w:rPr>
          <w:rFonts w:cs="Tahoma"/>
          <w:color w:val="000000" w:themeColor="text1"/>
        </w:rPr>
        <w:t xml:space="preserve"> 2020. évi július végi összege (14,2 milliárd forint) 0,6 milliárd forinttal volt magasabb az előző év azonos időszakában kifizetett összegnél. A térítéseken belül a legnagyobb összeget, 9,9 milliárd forintot a közgyógyellátásra fizették ki, mely meghaladta a 2019. évi július végi összeget.</w:t>
      </w:r>
    </w:p>
    <w:p w14:paraId="32BB2482" w14:textId="73FCD987" w:rsidR="00AE0B19" w:rsidRPr="00AE0B19" w:rsidRDefault="40B3576B" w:rsidP="00AE0B19">
      <w:r>
        <w:t xml:space="preserve">A </w:t>
      </w:r>
      <w:r w:rsidRPr="40B3576B">
        <w:rPr>
          <w:b/>
          <w:bCs/>
        </w:rPr>
        <w:t>helyi önkormányzatok</w:t>
      </w:r>
      <w:r>
        <w:t xml:space="preserve"> 2020. évi feladataihoz a hatályos költségvetési törvény 739,0</w:t>
      </w:r>
      <w:r w:rsidR="00816612" w:rsidRPr="083418F4">
        <w:t> </w:t>
      </w:r>
      <w:r>
        <w:t>milliárd forint állami támogatást biztosít, ami a 2019. évi 728,9</w:t>
      </w:r>
      <w:r w:rsidR="00816612" w:rsidRPr="083418F4">
        <w:t> </w:t>
      </w:r>
      <w:r>
        <w:t>milliárd forintos törvényi előirányzatnál 10,1</w:t>
      </w:r>
      <w:r w:rsidR="00816612" w:rsidRPr="083418F4">
        <w:t> </w:t>
      </w:r>
      <w:r>
        <w:t>milliárd forinttal magasabb. E többlet döntően a 2017</w:t>
      </w:r>
      <w:r w:rsidR="00816612">
        <w:noBreakHyphen/>
      </w:r>
      <w:r>
        <w:t>2019.</w:t>
      </w:r>
      <w:r w:rsidR="00816612" w:rsidRPr="083418F4">
        <w:t> </w:t>
      </w:r>
      <w:r>
        <w:t>évi bérintézkedések hatásainak ágazati (így a köznevelési, szociális, gyermekétkeztetési, valamint a kulturális) támogatásokba való beépítésére, valamint kisebb részben egyes működési célú feladatok ellátására szolgál fedezetül. Az említett ágazati bérintézkedések hatása ténylegesen 24,5</w:t>
      </w:r>
      <w:r w:rsidR="00816612" w:rsidRPr="083418F4">
        <w:t> </w:t>
      </w:r>
      <w:r>
        <w:t>milliárd forint többletet jelent a fejlesztési célú előirányzatok előző évhez viszonyított 2,9</w:t>
      </w:r>
      <w:r w:rsidR="007626A6">
        <w:t xml:space="preserve"> százalékpontos</w:t>
      </w:r>
      <w:r>
        <w:t xml:space="preserve"> csökkenése mellett. A csökkenés </w:t>
      </w:r>
      <w:r w:rsidR="00EC1543">
        <w:t xml:space="preserve">fő </w:t>
      </w:r>
      <w:r>
        <w:t xml:space="preserve">oka, hogy néhány kiemelt beruházás megvalósítása a végéhez közeledik (Pannon Park, Normafa Park beruházások), így az előirányzatuk összege is jelentősen csökkent. </w:t>
      </w:r>
      <w:r w:rsidR="2248451C">
        <w:t>Fentieken túl a kormány az 1047/2020. (II. 18.) határozatában 10,3 milliárd forint egyszeri előirányzat-átcsoportosításáról döntött a IX. Helyi önkormányzatok támogatásai fejezet terhére, a XX. Emberi Erőforrások Minisztériuma fejezet javára annak érdekében, hogy az érintett színházak támogatása a 2020. évben megfeleljen az előadó-művészeti szervezetek támogatásáról és sajátos foglalkoztatási szabályairól szóló 2008. évi XCIX. törvény előírásainak.</w:t>
      </w:r>
    </w:p>
    <w:p w14:paraId="14F80CAD" w14:textId="68146E6C" w:rsidR="00E05046" w:rsidRDefault="2248451C" w:rsidP="00FE76A5">
      <w:r>
        <w:t>A jelentősebb tételek alakulását a következő táblázat mutatja:</w:t>
      </w:r>
      <w:r w:rsidR="6D01B43F">
        <w:br w:type="page"/>
      </w:r>
    </w:p>
    <w:tbl>
      <w:tblPr>
        <w:tblW w:w="8524" w:type="dxa"/>
        <w:jc w:val="center"/>
        <w:tblInd w:w="-329" w:type="dxa"/>
        <w:tblCellMar>
          <w:left w:w="0" w:type="dxa"/>
          <w:right w:w="0" w:type="dxa"/>
        </w:tblCellMar>
        <w:tblLook w:val="04A0" w:firstRow="1" w:lastRow="0" w:firstColumn="1" w:lastColumn="0" w:noHBand="0" w:noVBand="1"/>
      </w:tblPr>
      <w:tblGrid>
        <w:gridCol w:w="263"/>
        <w:gridCol w:w="4143"/>
        <w:gridCol w:w="1124"/>
        <w:gridCol w:w="1110"/>
        <w:gridCol w:w="888"/>
        <w:gridCol w:w="733"/>
        <w:gridCol w:w="263"/>
      </w:tblGrid>
      <w:tr w:rsidR="00B63892" w:rsidRPr="00B63892" w14:paraId="2F7879B7" w14:textId="77777777" w:rsidTr="2248451C">
        <w:trPr>
          <w:gridBefore w:val="1"/>
          <w:wBefore w:w="263" w:type="dxa"/>
          <w:trHeight w:val="300"/>
          <w:jc w:val="center"/>
        </w:trPr>
        <w:tc>
          <w:tcPr>
            <w:tcW w:w="8261" w:type="dxa"/>
            <w:gridSpan w:val="6"/>
            <w:noWrap/>
            <w:tcMar>
              <w:top w:w="0" w:type="dxa"/>
              <w:left w:w="70" w:type="dxa"/>
              <w:bottom w:w="0" w:type="dxa"/>
              <w:right w:w="70" w:type="dxa"/>
            </w:tcMar>
            <w:vAlign w:val="bottom"/>
            <w:hideMark/>
          </w:tcPr>
          <w:p w14:paraId="7A3DC9ED" w14:textId="77777777" w:rsidR="00B63892" w:rsidRPr="00B63892" w:rsidRDefault="2248451C" w:rsidP="2248451C">
            <w:pPr>
              <w:spacing w:line="276" w:lineRule="auto"/>
              <w:ind w:hanging="322"/>
              <w:jc w:val="center"/>
              <w:rPr>
                <w:rFonts w:eastAsiaTheme="minorEastAsia"/>
                <w:b/>
                <w:bCs/>
                <w:color w:val="000000" w:themeColor="text1"/>
                <w:sz w:val="20"/>
                <w:lang w:eastAsia="en-US"/>
              </w:rPr>
            </w:pPr>
            <w:r w:rsidRPr="2248451C">
              <w:rPr>
                <w:b/>
                <w:bCs/>
                <w:color w:val="000000" w:themeColor="text1"/>
                <w:sz w:val="20"/>
              </w:rPr>
              <w:lastRenderedPageBreak/>
              <w:t>A helyi önkormányzatok támogatásának alakulása (milliárd forint)</w:t>
            </w:r>
          </w:p>
        </w:tc>
      </w:tr>
      <w:tr w:rsidR="00B63892" w:rsidRPr="00B63892" w14:paraId="67AAF810" w14:textId="77777777" w:rsidTr="2248451C">
        <w:trPr>
          <w:gridAfter w:val="1"/>
          <w:wAfter w:w="263" w:type="dxa"/>
          <w:trHeight w:val="300"/>
          <w:jc w:val="center"/>
        </w:trPr>
        <w:tc>
          <w:tcPr>
            <w:tcW w:w="4406" w:type="dxa"/>
            <w:gridSpan w:val="2"/>
            <w:vMerge w:val="restart"/>
            <w:tcBorders>
              <w:top w:val="single" w:sz="8" w:space="0" w:color="auto"/>
              <w:left w:val="single" w:sz="8" w:space="0" w:color="auto"/>
              <w:bottom w:val="single" w:sz="8" w:space="0" w:color="000000" w:themeColor="text1"/>
              <w:right w:val="single" w:sz="8" w:space="0" w:color="auto"/>
            </w:tcBorders>
            <w:noWrap/>
            <w:tcMar>
              <w:top w:w="0" w:type="dxa"/>
              <w:left w:w="70" w:type="dxa"/>
              <w:bottom w:w="0" w:type="dxa"/>
              <w:right w:w="70" w:type="dxa"/>
            </w:tcMar>
            <w:vAlign w:val="center"/>
            <w:hideMark/>
          </w:tcPr>
          <w:p w14:paraId="3BE23B9F" w14:textId="77777777" w:rsidR="00B63892" w:rsidRPr="00B63892" w:rsidRDefault="2248451C" w:rsidP="2248451C">
            <w:pPr>
              <w:spacing w:line="276" w:lineRule="auto"/>
              <w:jc w:val="center"/>
              <w:rPr>
                <w:rFonts w:eastAsiaTheme="minorEastAsia"/>
                <w:b/>
                <w:bCs/>
                <w:color w:val="000000" w:themeColor="text1"/>
                <w:sz w:val="20"/>
                <w:lang w:eastAsia="en-US"/>
              </w:rPr>
            </w:pPr>
            <w:r w:rsidRPr="2248451C">
              <w:rPr>
                <w:b/>
                <w:bCs/>
                <w:color w:val="000000" w:themeColor="text1"/>
                <w:sz w:val="20"/>
              </w:rPr>
              <w:t>Megnevezés</w:t>
            </w:r>
          </w:p>
        </w:tc>
        <w:tc>
          <w:tcPr>
            <w:tcW w:w="112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1609F1" w14:textId="1C29395F" w:rsidR="00B63892" w:rsidRPr="00B63892" w:rsidRDefault="2248451C" w:rsidP="2248451C">
            <w:pPr>
              <w:jc w:val="center"/>
              <w:rPr>
                <w:b/>
                <w:bCs/>
                <w:color w:val="000000" w:themeColor="text1"/>
                <w:sz w:val="20"/>
              </w:rPr>
            </w:pPr>
            <w:r w:rsidRPr="2248451C">
              <w:rPr>
                <w:b/>
                <w:bCs/>
                <w:color w:val="000000" w:themeColor="text1"/>
                <w:sz w:val="20"/>
              </w:rPr>
              <w:t xml:space="preserve">2019. </w:t>
            </w:r>
            <w:r w:rsidR="6D01B43F">
              <w:br/>
            </w:r>
            <w:r w:rsidRPr="2248451C">
              <w:rPr>
                <w:b/>
                <w:bCs/>
                <w:color w:val="000000" w:themeColor="text1"/>
                <w:sz w:val="20"/>
              </w:rPr>
              <w:t>I-VII. hó</w:t>
            </w:r>
          </w:p>
        </w:tc>
        <w:tc>
          <w:tcPr>
            <w:tcW w:w="111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8851D1" w14:textId="3204BD8F" w:rsidR="00B63892" w:rsidRPr="00B63892" w:rsidRDefault="2248451C" w:rsidP="2248451C">
            <w:pPr>
              <w:jc w:val="center"/>
              <w:rPr>
                <w:b/>
                <w:bCs/>
                <w:color w:val="000000" w:themeColor="text1"/>
                <w:sz w:val="20"/>
              </w:rPr>
            </w:pPr>
            <w:r w:rsidRPr="2248451C">
              <w:rPr>
                <w:b/>
                <w:bCs/>
                <w:color w:val="000000" w:themeColor="text1"/>
                <w:sz w:val="20"/>
              </w:rPr>
              <w:t>2020.</w:t>
            </w:r>
            <w:r w:rsidR="6D01B43F">
              <w:br/>
            </w:r>
            <w:r w:rsidRPr="2248451C">
              <w:rPr>
                <w:b/>
                <w:bCs/>
                <w:color w:val="000000" w:themeColor="text1"/>
                <w:sz w:val="20"/>
              </w:rPr>
              <w:t>I-VII. hó</w:t>
            </w:r>
          </w:p>
        </w:tc>
        <w:tc>
          <w:tcPr>
            <w:tcW w:w="1621"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09B7B517" w14:textId="77777777" w:rsidR="00B63892" w:rsidRPr="00B63892" w:rsidRDefault="2248451C" w:rsidP="2248451C">
            <w:pPr>
              <w:jc w:val="center"/>
              <w:rPr>
                <w:b/>
                <w:bCs/>
                <w:color w:val="000000" w:themeColor="text1"/>
                <w:sz w:val="20"/>
              </w:rPr>
            </w:pPr>
            <w:r w:rsidRPr="2248451C">
              <w:rPr>
                <w:b/>
                <w:bCs/>
                <w:color w:val="000000" w:themeColor="text1"/>
                <w:sz w:val="20"/>
              </w:rPr>
              <w:t>Eltérés</w:t>
            </w:r>
          </w:p>
        </w:tc>
      </w:tr>
      <w:tr w:rsidR="00B63892" w:rsidRPr="00B63892" w14:paraId="645E4692" w14:textId="77777777" w:rsidTr="2248451C">
        <w:trPr>
          <w:gridAfter w:val="1"/>
          <w:wAfter w:w="263" w:type="dxa"/>
          <w:trHeight w:val="300"/>
          <w:jc w:val="center"/>
        </w:trPr>
        <w:tc>
          <w:tcPr>
            <w:tcW w:w="0" w:type="auto"/>
            <w:gridSpan w:val="2"/>
            <w:vMerge/>
            <w:tcBorders>
              <w:top w:val="single" w:sz="8" w:space="0" w:color="auto"/>
              <w:left w:val="single" w:sz="8" w:space="0" w:color="auto"/>
              <w:bottom w:val="single" w:sz="8" w:space="0" w:color="000000"/>
              <w:right w:val="single" w:sz="8" w:space="0" w:color="auto"/>
            </w:tcBorders>
            <w:vAlign w:val="center"/>
            <w:hideMark/>
          </w:tcPr>
          <w:p w14:paraId="24FB6D4F" w14:textId="77777777" w:rsidR="00B63892" w:rsidRPr="00B63892" w:rsidRDefault="00B63892" w:rsidP="003919E7">
            <w:pPr>
              <w:rPr>
                <w:rFonts w:eastAsiaTheme="minorHAnsi"/>
                <w:b/>
                <w:bCs/>
                <w:color w:val="000000"/>
                <w:sz w:val="20"/>
                <w:lang w:eastAsia="en-US"/>
              </w:rPr>
            </w:pPr>
          </w:p>
        </w:tc>
        <w:tc>
          <w:tcPr>
            <w:tcW w:w="0" w:type="auto"/>
            <w:vMerge/>
            <w:tcBorders>
              <w:top w:val="single" w:sz="8" w:space="0" w:color="auto"/>
              <w:left w:val="nil"/>
              <w:bottom w:val="single" w:sz="8" w:space="0" w:color="auto"/>
              <w:right w:val="single" w:sz="8" w:space="0" w:color="auto"/>
            </w:tcBorders>
            <w:vAlign w:val="center"/>
          </w:tcPr>
          <w:p w14:paraId="5C9D2DF7" w14:textId="77777777" w:rsidR="00B63892" w:rsidRPr="00B63892" w:rsidRDefault="00B63892" w:rsidP="003919E7">
            <w:pPr>
              <w:jc w:val="center"/>
              <w:rPr>
                <w:rFonts w:eastAsiaTheme="minorHAnsi"/>
                <w:b/>
                <w:bCs/>
                <w:color w:val="000000"/>
                <w:sz w:val="20"/>
                <w:lang w:eastAsia="en-US"/>
              </w:rPr>
            </w:pPr>
          </w:p>
        </w:tc>
        <w:tc>
          <w:tcPr>
            <w:tcW w:w="0" w:type="auto"/>
            <w:vMerge/>
            <w:tcBorders>
              <w:top w:val="single" w:sz="8" w:space="0" w:color="auto"/>
              <w:left w:val="nil"/>
              <w:bottom w:val="single" w:sz="8" w:space="0" w:color="auto"/>
              <w:right w:val="single" w:sz="8" w:space="0" w:color="auto"/>
            </w:tcBorders>
            <w:vAlign w:val="center"/>
          </w:tcPr>
          <w:p w14:paraId="14F93466" w14:textId="77777777" w:rsidR="00B63892" w:rsidRPr="00B63892" w:rsidRDefault="00B63892" w:rsidP="003919E7">
            <w:pPr>
              <w:jc w:val="center"/>
              <w:rPr>
                <w:rFonts w:eastAsiaTheme="minorHAnsi"/>
                <w:b/>
                <w:bCs/>
                <w:color w:val="000000"/>
                <w:sz w:val="20"/>
                <w:lang w:eastAsia="en-US"/>
              </w:rPr>
            </w:pPr>
          </w:p>
        </w:tc>
        <w:tc>
          <w:tcPr>
            <w:tcW w:w="88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75BF476" w14:textId="77777777" w:rsidR="00B63892" w:rsidRPr="00B63892" w:rsidRDefault="2248451C" w:rsidP="2248451C">
            <w:pPr>
              <w:spacing w:line="276" w:lineRule="auto"/>
              <w:jc w:val="center"/>
              <w:rPr>
                <w:rFonts w:eastAsiaTheme="minorEastAsia"/>
                <w:b/>
                <w:bCs/>
                <w:color w:val="000000" w:themeColor="text1"/>
                <w:sz w:val="20"/>
                <w:lang w:eastAsia="en-US"/>
              </w:rPr>
            </w:pPr>
            <w:r w:rsidRPr="2248451C">
              <w:rPr>
                <w:b/>
                <w:bCs/>
                <w:color w:val="000000" w:themeColor="text1"/>
                <w:sz w:val="20"/>
              </w:rPr>
              <w:t>Mrd Ft</w:t>
            </w:r>
          </w:p>
        </w:tc>
        <w:tc>
          <w:tcPr>
            <w:tcW w:w="73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DBE30AD" w14:textId="77777777" w:rsidR="00B63892" w:rsidRPr="00B63892" w:rsidRDefault="2248451C" w:rsidP="2248451C">
            <w:pPr>
              <w:spacing w:line="276" w:lineRule="auto"/>
              <w:jc w:val="center"/>
              <w:rPr>
                <w:rFonts w:eastAsiaTheme="minorEastAsia"/>
                <w:b/>
                <w:bCs/>
                <w:color w:val="000000" w:themeColor="text1"/>
                <w:sz w:val="20"/>
                <w:lang w:eastAsia="en-US"/>
              </w:rPr>
            </w:pPr>
            <w:r w:rsidRPr="2248451C">
              <w:rPr>
                <w:b/>
                <w:bCs/>
                <w:color w:val="000000" w:themeColor="text1"/>
                <w:sz w:val="20"/>
              </w:rPr>
              <w:t>%</w:t>
            </w:r>
          </w:p>
        </w:tc>
      </w:tr>
      <w:tr w:rsidR="00EB5F72" w:rsidRPr="00B63892" w14:paraId="1C17600D" w14:textId="77777777" w:rsidTr="2248451C">
        <w:trPr>
          <w:gridAfter w:val="1"/>
          <w:wAfter w:w="263" w:type="dxa"/>
          <w:trHeight w:val="575"/>
          <w:jc w:val="center"/>
        </w:trPr>
        <w:tc>
          <w:tcPr>
            <w:tcW w:w="440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C63432" w14:textId="77777777" w:rsidR="00EB5F72" w:rsidRPr="00B63892" w:rsidRDefault="2248451C" w:rsidP="2248451C">
            <w:pPr>
              <w:spacing w:after="0"/>
              <w:jc w:val="left"/>
              <w:rPr>
                <w:rFonts w:eastAsiaTheme="minorEastAsia"/>
                <w:b/>
                <w:bCs/>
                <w:color w:val="000000" w:themeColor="text1"/>
                <w:sz w:val="20"/>
              </w:rPr>
            </w:pPr>
            <w:r w:rsidRPr="2248451C">
              <w:rPr>
                <w:rFonts w:eastAsiaTheme="minorEastAsia"/>
                <w:b/>
                <w:bCs/>
                <w:color w:val="000000" w:themeColor="text1"/>
                <w:sz w:val="20"/>
              </w:rPr>
              <w:t>A helyi önkormányzatok általános működésének és ágazati feladatainak támogatása</w:t>
            </w:r>
          </w:p>
        </w:tc>
        <w:tc>
          <w:tcPr>
            <w:tcW w:w="112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1CD1DE2" w14:textId="32BE29B9" w:rsidR="00EB5F72" w:rsidRPr="00B63892" w:rsidRDefault="2248451C" w:rsidP="2248451C">
            <w:pPr>
              <w:jc w:val="right"/>
              <w:rPr>
                <w:b/>
                <w:bCs/>
                <w:color w:val="000000" w:themeColor="text1"/>
                <w:sz w:val="20"/>
              </w:rPr>
            </w:pPr>
            <w:r w:rsidRPr="2248451C">
              <w:rPr>
                <w:b/>
                <w:bCs/>
                <w:color w:val="000000" w:themeColor="text1"/>
                <w:sz w:val="20"/>
              </w:rPr>
              <w:t>367,5</w:t>
            </w:r>
          </w:p>
        </w:tc>
        <w:tc>
          <w:tcPr>
            <w:tcW w:w="111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5003805" w14:textId="4FB0075C" w:rsidR="00EB5F72" w:rsidRPr="00B63892" w:rsidRDefault="2248451C" w:rsidP="2248451C">
            <w:pPr>
              <w:jc w:val="right"/>
              <w:rPr>
                <w:b/>
                <w:bCs/>
                <w:color w:val="000000" w:themeColor="text1"/>
                <w:sz w:val="20"/>
              </w:rPr>
            </w:pPr>
            <w:r w:rsidRPr="2248451C">
              <w:rPr>
                <w:b/>
                <w:bCs/>
                <w:color w:val="000000" w:themeColor="text1"/>
                <w:sz w:val="20"/>
              </w:rPr>
              <w:t>388,0</w:t>
            </w:r>
          </w:p>
        </w:tc>
        <w:tc>
          <w:tcPr>
            <w:tcW w:w="88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4721E9D" w14:textId="2989F8AA" w:rsidR="00EB5F72" w:rsidRPr="00B63892" w:rsidRDefault="2248451C" w:rsidP="2248451C">
            <w:pPr>
              <w:jc w:val="right"/>
              <w:rPr>
                <w:b/>
                <w:bCs/>
                <w:color w:val="000000" w:themeColor="text1"/>
                <w:sz w:val="20"/>
              </w:rPr>
            </w:pPr>
            <w:r w:rsidRPr="2248451C">
              <w:rPr>
                <w:b/>
                <w:bCs/>
                <w:color w:val="000000" w:themeColor="text1"/>
                <w:sz w:val="20"/>
              </w:rPr>
              <w:t>20,5</w:t>
            </w:r>
          </w:p>
        </w:tc>
        <w:tc>
          <w:tcPr>
            <w:tcW w:w="73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90D3E2F" w14:textId="296BE2A7" w:rsidR="00EB5F72" w:rsidRPr="00B63892" w:rsidRDefault="2248451C" w:rsidP="2248451C">
            <w:pPr>
              <w:jc w:val="right"/>
              <w:rPr>
                <w:b/>
                <w:bCs/>
                <w:color w:val="000000" w:themeColor="text1"/>
                <w:sz w:val="20"/>
              </w:rPr>
            </w:pPr>
            <w:r w:rsidRPr="2248451C">
              <w:rPr>
                <w:b/>
                <w:bCs/>
                <w:color w:val="000000" w:themeColor="text1"/>
                <w:sz w:val="20"/>
              </w:rPr>
              <w:t>105,6</w:t>
            </w:r>
          </w:p>
        </w:tc>
      </w:tr>
      <w:tr w:rsidR="00EB5F72" w:rsidRPr="00B63892" w14:paraId="3DCBC2C7" w14:textId="77777777" w:rsidTr="2248451C">
        <w:trPr>
          <w:gridAfter w:val="1"/>
          <w:wAfter w:w="263" w:type="dxa"/>
          <w:trHeight w:val="507"/>
          <w:jc w:val="center"/>
        </w:trPr>
        <w:tc>
          <w:tcPr>
            <w:tcW w:w="440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CC976F" w14:textId="77777777" w:rsidR="00EB5F72" w:rsidRPr="00B63892" w:rsidRDefault="2248451C" w:rsidP="2248451C">
            <w:pPr>
              <w:spacing w:after="0"/>
              <w:jc w:val="left"/>
              <w:rPr>
                <w:rFonts w:eastAsiaTheme="minorEastAsia"/>
                <w:i/>
                <w:iCs/>
                <w:color w:val="000000" w:themeColor="text1"/>
                <w:sz w:val="20"/>
              </w:rPr>
            </w:pPr>
            <w:r w:rsidRPr="2248451C">
              <w:rPr>
                <w:rFonts w:eastAsiaTheme="minorEastAsia"/>
                <w:i/>
                <w:iCs/>
                <w:color w:val="000000" w:themeColor="text1"/>
                <w:sz w:val="20"/>
              </w:rPr>
              <w:t>A helyi önkormányzatok működésének általános támogatása</w:t>
            </w:r>
          </w:p>
        </w:tc>
        <w:tc>
          <w:tcPr>
            <w:tcW w:w="112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EDA4675" w14:textId="5EA036B1" w:rsidR="00EB5F72" w:rsidRPr="00B63892" w:rsidRDefault="2248451C" w:rsidP="2248451C">
            <w:pPr>
              <w:jc w:val="right"/>
              <w:rPr>
                <w:color w:val="000000" w:themeColor="text1"/>
                <w:sz w:val="20"/>
              </w:rPr>
            </w:pPr>
            <w:r w:rsidRPr="2248451C">
              <w:rPr>
                <w:color w:val="000000" w:themeColor="text1"/>
                <w:sz w:val="20"/>
              </w:rPr>
              <w:t>93,7</w:t>
            </w:r>
          </w:p>
        </w:tc>
        <w:tc>
          <w:tcPr>
            <w:tcW w:w="111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6CDB4C4" w14:textId="329E0AD5" w:rsidR="00EB5F72" w:rsidRPr="00B63892" w:rsidRDefault="2248451C" w:rsidP="2248451C">
            <w:pPr>
              <w:jc w:val="right"/>
              <w:rPr>
                <w:color w:val="000000" w:themeColor="text1"/>
                <w:sz w:val="20"/>
              </w:rPr>
            </w:pPr>
            <w:r w:rsidRPr="2248451C">
              <w:rPr>
                <w:color w:val="000000" w:themeColor="text1"/>
                <w:sz w:val="20"/>
              </w:rPr>
              <w:t>103,0</w:t>
            </w:r>
          </w:p>
        </w:tc>
        <w:tc>
          <w:tcPr>
            <w:tcW w:w="88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C9CC13B" w14:textId="7E514091" w:rsidR="00EB5F72" w:rsidRPr="00B63892" w:rsidRDefault="2248451C" w:rsidP="2248451C">
            <w:pPr>
              <w:jc w:val="right"/>
              <w:rPr>
                <w:color w:val="000000" w:themeColor="text1"/>
                <w:sz w:val="20"/>
              </w:rPr>
            </w:pPr>
            <w:r w:rsidRPr="2248451C">
              <w:rPr>
                <w:color w:val="000000" w:themeColor="text1"/>
                <w:sz w:val="20"/>
              </w:rPr>
              <w:t>9,3</w:t>
            </w:r>
          </w:p>
        </w:tc>
        <w:tc>
          <w:tcPr>
            <w:tcW w:w="73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4ADE235" w14:textId="099E4E0A" w:rsidR="00EB5F72" w:rsidRPr="00B63892" w:rsidRDefault="2248451C" w:rsidP="2248451C">
            <w:pPr>
              <w:jc w:val="right"/>
              <w:rPr>
                <w:color w:val="000000" w:themeColor="text1"/>
                <w:sz w:val="20"/>
              </w:rPr>
            </w:pPr>
            <w:r w:rsidRPr="2248451C">
              <w:rPr>
                <w:color w:val="000000" w:themeColor="text1"/>
                <w:sz w:val="20"/>
              </w:rPr>
              <w:t>109,9</w:t>
            </w:r>
          </w:p>
        </w:tc>
      </w:tr>
      <w:tr w:rsidR="00EB5F72" w:rsidRPr="00B63892" w14:paraId="2DC4F4A1" w14:textId="77777777" w:rsidTr="2248451C">
        <w:trPr>
          <w:gridAfter w:val="1"/>
          <w:wAfter w:w="263" w:type="dxa"/>
          <w:trHeight w:val="515"/>
          <w:jc w:val="center"/>
        </w:trPr>
        <w:tc>
          <w:tcPr>
            <w:tcW w:w="440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FC169F" w14:textId="77777777" w:rsidR="00EB5F72" w:rsidRPr="00B63892" w:rsidRDefault="2248451C" w:rsidP="2248451C">
            <w:pPr>
              <w:spacing w:after="0"/>
              <w:jc w:val="left"/>
              <w:rPr>
                <w:rFonts w:eastAsiaTheme="minorEastAsia"/>
                <w:i/>
                <w:iCs/>
                <w:color w:val="000000" w:themeColor="text1"/>
                <w:sz w:val="20"/>
              </w:rPr>
            </w:pPr>
            <w:r w:rsidRPr="2248451C">
              <w:rPr>
                <w:rFonts w:eastAsiaTheme="minorEastAsia"/>
                <w:i/>
                <w:iCs/>
                <w:color w:val="000000" w:themeColor="text1"/>
                <w:sz w:val="20"/>
              </w:rPr>
              <w:t>A települési önkormányzatok egyes köznevelési feladatainak támogatása</w:t>
            </w:r>
          </w:p>
        </w:tc>
        <w:tc>
          <w:tcPr>
            <w:tcW w:w="112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DFCB2CA" w14:textId="29A9E8FA" w:rsidR="00EB5F72" w:rsidRPr="00B63892" w:rsidRDefault="2248451C" w:rsidP="2248451C">
            <w:pPr>
              <w:jc w:val="right"/>
              <w:rPr>
                <w:color w:val="000000" w:themeColor="text1"/>
                <w:sz w:val="20"/>
              </w:rPr>
            </w:pPr>
            <w:r w:rsidRPr="2248451C">
              <w:rPr>
                <w:color w:val="000000" w:themeColor="text1"/>
                <w:sz w:val="20"/>
              </w:rPr>
              <w:t>108,2</w:t>
            </w:r>
          </w:p>
        </w:tc>
        <w:tc>
          <w:tcPr>
            <w:tcW w:w="111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263F833" w14:textId="2DC978F2" w:rsidR="00EB5F72" w:rsidRPr="00B63892" w:rsidRDefault="2248451C" w:rsidP="2248451C">
            <w:pPr>
              <w:jc w:val="right"/>
              <w:rPr>
                <w:color w:val="000000" w:themeColor="text1"/>
                <w:sz w:val="20"/>
              </w:rPr>
            </w:pPr>
            <w:r w:rsidRPr="2248451C">
              <w:rPr>
                <w:color w:val="000000" w:themeColor="text1"/>
                <w:sz w:val="20"/>
              </w:rPr>
              <w:t>113,0</w:t>
            </w:r>
          </w:p>
        </w:tc>
        <w:tc>
          <w:tcPr>
            <w:tcW w:w="88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035B071" w14:textId="7D8410E3" w:rsidR="00EB5F72" w:rsidRPr="00B63892" w:rsidRDefault="2248451C" w:rsidP="2248451C">
            <w:pPr>
              <w:jc w:val="right"/>
              <w:rPr>
                <w:color w:val="000000" w:themeColor="text1"/>
                <w:sz w:val="20"/>
              </w:rPr>
            </w:pPr>
            <w:r w:rsidRPr="2248451C">
              <w:rPr>
                <w:color w:val="000000" w:themeColor="text1"/>
                <w:sz w:val="20"/>
              </w:rPr>
              <w:t>4,8</w:t>
            </w:r>
          </w:p>
        </w:tc>
        <w:tc>
          <w:tcPr>
            <w:tcW w:w="73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6BEB8D1" w14:textId="727BB40E" w:rsidR="00EB5F72" w:rsidRPr="00B63892" w:rsidRDefault="2248451C" w:rsidP="2248451C">
            <w:pPr>
              <w:jc w:val="right"/>
              <w:rPr>
                <w:color w:val="000000" w:themeColor="text1"/>
                <w:sz w:val="20"/>
              </w:rPr>
            </w:pPr>
            <w:r w:rsidRPr="2248451C">
              <w:rPr>
                <w:color w:val="000000" w:themeColor="text1"/>
                <w:sz w:val="20"/>
              </w:rPr>
              <w:t>104,4</w:t>
            </w:r>
          </w:p>
        </w:tc>
      </w:tr>
      <w:tr w:rsidR="00EB5F72" w:rsidRPr="00B63892" w14:paraId="40E05764" w14:textId="77777777" w:rsidTr="2248451C">
        <w:trPr>
          <w:gridAfter w:val="1"/>
          <w:wAfter w:w="263" w:type="dxa"/>
          <w:trHeight w:val="821"/>
          <w:jc w:val="center"/>
        </w:trPr>
        <w:tc>
          <w:tcPr>
            <w:tcW w:w="440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E9A1FF" w14:textId="77777777" w:rsidR="00EB5F72" w:rsidRPr="00B63892" w:rsidRDefault="2248451C" w:rsidP="2248451C">
            <w:pPr>
              <w:spacing w:after="0"/>
              <w:jc w:val="left"/>
              <w:rPr>
                <w:rFonts w:eastAsiaTheme="minorEastAsia"/>
                <w:i/>
                <w:iCs/>
                <w:color w:val="000000" w:themeColor="text1"/>
                <w:sz w:val="20"/>
              </w:rPr>
            </w:pPr>
            <w:r w:rsidRPr="2248451C">
              <w:rPr>
                <w:rFonts w:eastAsiaTheme="minorEastAsia"/>
                <w:i/>
                <w:iCs/>
                <w:color w:val="000000" w:themeColor="text1"/>
                <w:sz w:val="20"/>
              </w:rPr>
              <w:t>A települési önkormányzatok egyes szociális, gyermekjóléti és gyermekétkeztetési feladatainak támogatása</w:t>
            </w:r>
          </w:p>
        </w:tc>
        <w:tc>
          <w:tcPr>
            <w:tcW w:w="112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8F8A7D9" w14:textId="2E62C7AC" w:rsidR="00EB5F72" w:rsidRPr="00B63892" w:rsidRDefault="2248451C" w:rsidP="2248451C">
            <w:pPr>
              <w:jc w:val="right"/>
              <w:rPr>
                <w:color w:val="000000" w:themeColor="text1"/>
                <w:sz w:val="20"/>
              </w:rPr>
            </w:pPr>
            <w:r w:rsidRPr="2248451C">
              <w:rPr>
                <w:color w:val="000000" w:themeColor="text1"/>
                <w:sz w:val="20"/>
              </w:rPr>
              <w:t>141,5</w:t>
            </w:r>
          </w:p>
        </w:tc>
        <w:tc>
          <w:tcPr>
            <w:tcW w:w="111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64C258B" w14:textId="01A8EB60" w:rsidR="00EB5F72" w:rsidRPr="00B63892" w:rsidRDefault="2248451C" w:rsidP="2248451C">
            <w:pPr>
              <w:jc w:val="right"/>
              <w:rPr>
                <w:color w:val="000000" w:themeColor="text1"/>
                <w:sz w:val="20"/>
              </w:rPr>
            </w:pPr>
            <w:r w:rsidRPr="2248451C">
              <w:rPr>
                <w:color w:val="000000" w:themeColor="text1"/>
                <w:sz w:val="20"/>
              </w:rPr>
              <w:t>155,9</w:t>
            </w:r>
          </w:p>
        </w:tc>
        <w:tc>
          <w:tcPr>
            <w:tcW w:w="88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2492D0C" w14:textId="533A9983" w:rsidR="00EB5F72" w:rsidRPr="00B63892" w:rsidRDefault="2248451C" w:rsidP="2248451C">
            <w:pPr>
              <w:jc w:val="right"/>
              <w:rPr>
                <w:color w:val="000000" w:themeColor="text1"/>
                <w:sz w:val="20"/>
              </w:rPr>
            </w:pPr>
            <w:r w:rsidRPr="2248451C">
              <w:rPr>
                <w:color w:val="000000" w:themeColor="text1"/>
                <w:sz w:val="20"/>
              </w:rPr>
              <w:t>14,4</w:t>
            </w:r>
          </w:p>
        </w:tc>
        <w:tc>
          <w:tcPr>
            <w:tcW w:w="73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C520040" w14:textId="0BE694D8" w:rsidR="00EB5F72" w:rsidRPr="00B63892" w:rsidRDefault="2248451C" w:rsidP="2248451C">
            <w:pPr>
              <w:jc w:val="right"/>
              <w:rPr>
                <w:color w:val="000000" w:themeColor="text1"/>
                <w:sz w:val="20"/>
              </w:rPr>
            </w:pPr>
            <w:r w:rsidRPr="2248451C">
              <w:rPr>
                <w:color w:val="000000" w:themeColor="text1"/>
                <w:sz w:val="20"/>
              </w:rPr>
              <w:t>110,2</w:t>
            </w:r>
          </w:p>
        </w:tc>
      </w:tr>
      <w:tr w:rsidR="00EB5F72" w:rsidRPr="00B63892" w14:paraId="105EEEEC" w14:textId="77777777" w:rsidTr="2248451C">
        <w:trPr>
          <w:gridAfter w:val="1"/>
          <w:wAfter w:w="263" w:type="dxa"/>
          <w:trHeight w:val="549"/>
          <w:jc w:val="center"/>
        </w:trPr>
        <w:tc>
          <w:tcPr>
            <w:tcW w:w="440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855D62" w14:textId="77777777" w:rsidR="00EB5F72" w:rsidRPr="00B63892" w:rsidRDefault="2248451C" w:rsidP="2248451C">
            <w:pPr>
              <w:spacing w:after="0"/>
              <w:jc w:val="left"/>
              <w:rPr>
                <w:rFonts w:eastAsiaTheme="minorEastAsia"/>
                <w:i/>
                <w:iCs/>
                <w:color w:val="000000" w:themeColor="text1"/>
                <w:sz w:val="20"/>
              </w:rPr>
            </w:pPr>
            <w:r w:rsidRPr="2248451C">
              <w:rPr>
                <w:rFonts w:eastAsiaTheme="minorEastAsia"/>
                <w:i/>
                <w:iCs/>
                <w:color w:val="000000" w:themeColor="text1"/>
                <w:sz w:val="20"/>
              </w:rPr>
              <w:t>A települési önkormányzatok kulturális feladatainak támogatása</w:t>
            </w:r>
          </w:p>
        </w:tc>
        <w:tc>
          <w:tcPr>
            <w:tcW w:w="112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C5C7270" w14:textId="2892CB8A" w:rsidR="00EB5F72" w:rsidRPr="00B63892" w:rsidRDefault="2248451C" w:rsidP="2248451C">
            <w:pPr>
              <w:jc w:val="right"/>
              <w:rPr>
                <w:color w:val="000000" w:themeColor="text1"/>
                <w:sz w:val="20"/>
              </w:rPr>
            </w:pPr>
            <w:r w:rsidRPr="2248451C">
              <w:rPr>
                <w:color w:val="000000" w:themeColor="text1"/>
                <w:sz w:val="20"/>
              </w:rPr>
              <w:t>24,1</w:t>
            </w:r>
          </w:p>
        </w:tc>
        <w:tc>
          <w:tcPr>
            <w:tcW w:w="111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19EF3A6" w14:textId="1D09B87B" w:rsidR="00EB5F72" w:rsidRPr="00B63892" w:rsidRDefault="2248451C" w:rsidP="2248451C">
            <w:pPr>
              <w:jc w:val="right"/>
              <w:rPr>
                <w:color w:val="000000" w:themeColor="text1"/>
                <w:sz w:val="20"/>
              </w:rPr>
            </w:pPr>
            <w:r w:rsidRPr="2248451C">
              <w:rPr>
                <w:color w:val="000000" w:themeColor="text1"/>
                <w:sz w:val="20"/>
              </w:rPr>
              <w:t>16,1</w:t>
            </w:r>
          </w:p>
        </w:tc>
        <w:tc>
          <w:tcPr>
            <w:tcW w:w="88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9F613A6" w14:textId="3D952346" w:rsidR="00EB5F72" w:rsidRPr="00B63892" w:rsidRDefault="2248451C" w:rsidP="2248451C">
            <w:pPr>
              <w:jc w:val="right"/>
              <w:rPr>
                <w:color w:val="000000" w:themeColor="text1"/>
                <w:sz w:val="20"/>
              </w:rPr>
            </w:pPr>
            <w:r w:rsidRPr="2248451C">
              <w:rPr>
                <w:color w:val="000000" w:themeColor="text1"/>
                <w:sz w:val="20"/>
              </w:rPr>
              <w:t>-8</w:t>
            </w:r>
            <w:r w:rsidR="00B363DF">
              <w:rPr>
                <w:color w:val="000000" w:themeColor="text1"/>
                <w:sz w:val="20"/>
              </w:rPr>
              <w:t>,0</w:t>
            </w:r>
          </w:p>
        </w:tc>
        <w:tc>
          <w:tcPr>
            <w:tcW w:w="73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05CBA2B" w14:textId="3523FAB7" w:rsidR="00EB5F72" w:rsidRPr="00B63892" w:rsidRDefault="2248451C" w:rsidP="2248451C">
            <w:pPr>
              <w:jc w:val="right"/>
              <w:rPr>
                <w:color w:val="000000" w:themeColor="text1"/>
                <w:sz w:val="20"/>
              </w:rPr>
            </w:pPr>
            <w:r w:rsidRPr="2248451C">
              <w:rPr>
                <w:color w:val="000000" w:themeColor="text1"/>
                <w:sz w:val="20"/>
              </w:rPr>
              <w:t>66,8</w:t>
            </w:r>
          </w:p>
        </w:tc>
      </w:tr>
      <w:tr w:rsidR="00EB5F72" w:rsidRPr="00B63892" w14:paraId="75376CC1" w14:textId="77777777" w:rsidTr="2248451C">
        <w:trPr>
          <w:gridAfter w:val="1"/>
          <w:wAfter w:w="263" w:type="dxa"/>
          <w:trHeight w:val="289"/>
          <w:jc w:val="center"/>
        </w:trPr>
        <w:tc>
          <w:tcPr>
            <w:tcW w:w="440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008B68" w14:textId="77777777" w:rsidR="00EB5F72" w:rsidRPr="00B63892" w:rsidRDefault="2248451C" w:rsidP="2248451C">
            <w:pPr>
              <w:spacing w:after="0"/>
              <w:jc w:val="left"/>
              <w:rPr>
                <w:rFonts w:eastAsiaTheme="minorEastAsia"/>
                <w:b/>
                <w:bCs/>
                <w:color w:val="000000" w:themeColor="text1"/>
                <w:sz w:val="20"/>
              </w:rPr>
            </w:pPr>
            <w:r w:rsidRPr="2248451C">
              <w:rPr>
                <w:rFonts w:eastAsiaTheme="minorEastAsia"/>
                <w:b/>
                <w:bCs/>
                <w:color w:val="000000" w:themeColor="text1"/>
                <w:sz w:val="20"/>
              </w:rPr>
              <w:t>Helyi önkormányzatok kiegészítő támogatása</w:t>
            </w:r>
          </w:p>
        </w:tc>
        <w:tc>
          <w:tcPr>
            <w:tcW w:w="112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0F0ED0D" w14:textId="41A516D3" w:rsidR="00EB5F72" w:rsidRPr="00B63892" w:rsidRDefault="2248451C" w:rsidP="2248451C">
            <w:pPr>
              <w:jc w:val="right"/>
              <w:rPr>
                <w:b/>
                <w:bCs/>
                <w:color w:val="000000" w:themeColor="text1"/>
                <w:sz w:val="20"/>
              </w:rPr>
            </w:pPr>
            <w:r w:rsidRPr="2248451C">
              <w:rPr>
                <w:b/>
                <w:bCs/>
                <w:color w:val="000000" w:themeColor="text1"/>
                <w:sz w:val="20"/>
              </w:rPr>
              <w:t>18,9</w:t>
            </w:r>
          </w:p>
        </w:tc>
        <w:tc>
          <w:tcPr>
            <w:tcW w:w="111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5C2BE26" w14:textId="68B19FED" w:rsidR="00EB5F72" w:rsidRPr="00B63892" w:rsidRDefault="2248451C" w:rsidP="2248451C">
            <w:pPr>
              <w:jc w:val="right"/>
              <w:rPr>
                <w:b/>
                <w:bCs/>
                <w:color w:val="000000" w:themeColor="text1"/>
                <w:sz w:val="20"/>
              </w:rPr>
            </w:pPr>
            <w:r w:rsidRPr="2248451C">
              <w:rPr>
                <w:b/>
                <w:bCs/>
                <w:color w:val="000000" w:themeColor="text1"/>
                <w:sz w:val="20"/>
              </w:rPr>
              <w:t>12,4</w:t>
            </w:r>
          </w:p>
        </w:tc>
        <w:tc>
          <w:tcPr>
            <w:tcW w:w="88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B059B03" w14:textId="264BA518" w:rsidR="00EB5F72" w:rsidRPr="00B63892" w:rsidRDefault="2248451C" w:rsidP="2248451C">
            <w:pPr>
              <w:jc w:val="right"/>
              <w:rPr>
                <w:b/>
                <w:bCs/>
                <w:color w:val="000000" w:themeColor="text1"/>
                <w:sz w:val="20"/>
              </w:rPr>
            </w:pPr>
            <w:r w:rsidRPr="2248451C">
              <w:rPr>
                <w:b/>
                <w:bCs/>
                <w:color w:val="000000" w:themeColor="text1"/>
                <w:sz w:val="20"/>
              </w:rPr>
              <w:t>-6,5</w:t>
            </w:r>
          </w:p>
        </w:tc>
        <w:tc>
          <w:tcPr>
            <w:tcW w:w="73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1188873" w14:textId="64829609" w:rsidR="00EB5F72" w:rsidRPr="00B63892" w:rsidRDefault="2248451C" w:rsidP="2248451C">
            <w:pPr>
              <w:jc w:val="right"/>
              <w:rPr>
                <w:b/>
                <w:bCs/>
                <w:color w:val="000000" w:themeColor="text1"/>
                <w:sz w:val="20"/>
              </w:rPr>
            </w:pPr>
            <w:r w:rsidRPr="2248451C">
              <w:rPr>
                <w:b/>
                <w:bCs/>
                <w:color w:val="000000" w:themeColor="text1"/>
                <w:sz w:val="20"/>
              </w:rPr>
              <w:t>65,6</w:t>
            </w:r>
          </w:p>
        </w:tc>
      </w:tr>
      <w:tr w:rsidR="00EB5F72" w:rsidRPr="00B63892" w14:paraId="38C8A14B" w14:textId="77777777" w:rsidTr="2248451C">
        <w:trPr>
          <w:gridAfter w:val="1"/>
          <w:wAfter w:w="263" w:type="dxa"/>
          <w:trHeight w:val="270"/>
          <w:jc w:val="center"/>
        </w:trPr>
        <w:tc>
          <w:tcPr>
            <w:tcW w:w="440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54252B" w14:textId="77777777" w:rsidR="00EB5F72" w:rsidRPr="00B63892" w:rsidRDefault="2248451C" w:rsidP="2248451C">
            <w:pPr>
              <w:spacing w:after="0"/>
              <w:jc w:val="left"/>
              <w:rPr>
                <w:rFonts w:eastAsiaTheme="minorEastAsia"/>
                <w:b/>
                <w:bCs/>
                <w:color w:val="000000" w:themeColor="text1"/>
                <w:sz w:val="20"/>
              </w:rPr>
            </w:pPr>
            <w:r w:rsidRPr="2248451C">
              <w:rPr>
                <w:rFonts w:eastAsiaTheme="minorEastAsia"/>
                <w:b/>
                <w:bCs/>
                <w:color w:val="000000" w:themeColor="text1"/>
                <w:sz w:val="20"/>
              </w:rPr>
              <w:t>Év közben létrejött új jogcímek kiadásai</w:t>
            </w:r>
          </w:p>
        </w:tc>
        <w:tc>
          <w:tcPr>
            <w:tcW w:w="112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922C29B" w14:textId="4D4FB473" w:rsidR="00EB5F72" w:rsidRPr="00B63892" w:rsidRDefault="2248451C" w:rsidP="2248451C">
            <w:pPr>
              <w:jc w:val="right"/>
              <w:rPr>
                <w:b/>
                <w:bCs/>
                <w:color w:val="000000" w:themeColor="text1"/>
                <w:sz w:val="20"/>
              </w:rPr>
            </w:pPr>
            <w:r w:rsidRPr="2248451C">
              <w:rPr>
                <w:b/>
                <w:bCs/>
                <w:color w:val="000000" w:themeColor="text1"/>
                <w:sz w:val="20"/>
              </w:rPr>
              <w:t>61,9</w:t>
            </w:r>
          </w:p>
        </w:tc>
        <w:tc>
          <w:tcPr>
            <w:tcW w:w="111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59081F0" w14:textId="42A2EB4E" w:rsidR="00EB5F72" w:rsidRPr="00B63892" w:rsidRDefault="2248451C" w:rsidP="2248451C">
            <w:pPr>
              <w:jc w:val="right"/>
              <w:rPr>
                <w:b/>
                <w:bCs/>
                <w:color w:val="000000" w:themeColor="text1"/>
                <w:sz w:val="20"/>
              </w:rPr>
            </w:pPr>
            <w:r w:rsidRPr="2248451C">
              <w:rPr>
                <w:b/>
                <w:bCs/>
                <w:color w:val="000000" w:themeColor="text1"/>
                <w:sz w:val="20"/>
              </w:rPr>
              <w:t>28,0</w:t>
            </w:r>
          </w:p>
        </w:tc>
        <w:tc>
          <w:tcPr>
            <w:tcW w:w="88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3D58E8F" w14:textId="0353D283" w:rsidR="00EB5F72" w:rsidRPr="00B63892" w:rsidRDefault="2248451C" w:rsidP="2248451C">
            <w:pPr>
              <w:jc w:val="right"/>
              <w:rPr>
                <w:b/>
                <w:bCs/>
                <w:color w:val="000000" w:themeColor="text1"/>
                <w:sz w:val="20"/>
              </w:rPr>
            </w:pPr>
            <w:r w:rsidRPr="2248451C">
              <w:rPr>
                <w:b/>
                <w:bCs/>
                <w:color w:val="000000" w:themeColor="text1"/>
                <w:sz w:val="20"/>
              </w:rPr>
              <w:t>-33,9</w:t>
            </w:r>
          </w:p>
        </w:tc>
        <w:tc>
          <w:tcPr>
            <w:tcW w:w="73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2CACA89" w14:textId="6C4F42FD" w:rsidR="00EB5F72" w:rsidRPr="00B63892" w:rsidRDefault="2248451C" w:rsidP="2248451C">
            <w:pPr>
              <w:jc w:val="right"/>
              <w:rPr>
                <w:b/>
                <w:bCs/>
                <w:color w:val="000000" w:themeColor="text1"/>
                <w:sz w:val="20"/>
              </w:rPr>
            </w:pPr>
            <w:r w:rsidRPr="2248451C">
              <w:rPr>
                <w:b/>
                <w:bCs/>
                <w:color w:val="000000" w:themeColor="text1"/>
                <w:sz w:val="20"/>
              </w:rPr>
              <w:t>45,2</w:t>
            </w:r>
          </w:p>
        </w:tc>
      </w:tr>
      <w:tr w:rsidR="00EB5F72" w:rsidRPr="00B63892" w14:paraId="062B6206" w14:textId="77777777" w:rsidTr="2248451C">
        <w:trPr>
          <w:gridAfter w:val="1"/>
          <w:wAfter w:w="263" w:type="dxa"/>
          <w:trHeight w:val="333"/>
          <w:jc w:val="center"/>
        </w:trPr>
        <w:tc>
          <w:tcPr>
            <w:tcW w:w="440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E08495" w14:textId="77777777" w:rsidR="00EB5F72" w:rsidRPr="00B63892" w:rsidRDefault="2248451C" w:rsidP="2248451C">
            <w:pPr>
              <w:spacing w:after="0"/>
              <w:jc w:val="left"/>
              <w:rPr>
                <w:rFonts w:eastAsiaTheme="minorEastAsia"/>
                <w:b/>
                <w:bCs/>
                <w:color w:val="000000" w:themeColor="text1"/>
                <w:sz w:val="20"/>
              </w:rPr>
            </w:pPr>
            <w:r w:rsidRPr="2248451C">
              <w:rPr>
                <w:rFonts w:eastAsiaTheme="minorEastAsia"/>
                <w:b/>
                <w:bCs/>
                <w:color w:val="000000" w:themeColor="text1"/>
                <w:sz w:val="20"/>
              </w:rPr>
              <w:t>Összesen</w:t>
            </w:r>
          </w:p>
        </w:tc>
        <w:tc>
          <w:tcPr>
            <w:tcW w:w="112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74AF370" w14:textId="56F361B3" w:rsidR="00EB5F72" w:rsidRPr="00B63892" w:rsidRDefault="2248451C" w:rsidP="2248451C">
            <w:pPr>
              <w:jc w:val="right"/>
              <w:rPr>
                <w:b/>
                <w:bCs/>
                <w:color w:val="000000" w:themeColor="text1"/>
                <w:sz w:val="20"/>
              </w:rPr>
            </w:pPr>
            <w:r w:rsidRPr="2248451C">
              <w:rPr>
                <w:b/>
                <w:bCs/>
                <w:color w:val="000000" w:themeColor="text1"/>
                <w:sz w:val="20"/>
              </w:rPr>
              <w:t>448,3</w:t>
            </w:r>
          </w:p>
        </w:tc>
        <w:tc>
          <w:tcPr>
            <w:tcW w:w="1110"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169E913" w14:textId="2E2FE2B1" w:rsidR="00EB5F72" w:rsidRPr="00B63892" w:rsidRDefault="2248451C" w:rsidP="2248451C">
            <w:pPr>
              <w:jc w:val="right"/>
              <w:rPr>
                <w:b/>
                <w:bCs/>
                <w:color w:val="000000" w:themeColor="text1"/>
                <w:sz w:val="20"/>
              </w:rPr>
            </w:pPr>
            <w:r w:rsidRPr="2248451C">
              <w:rPr>
                <w:b/>
                <w:bCs/>
                <w:color w:val="000000" w:themeColor="text1"/>
                <w:sz w:val="20"/>
              </w:rPr>
              <w:t>428,4</w:t>
            </w:r>
          </w:p>
        </w:tc>
        <w:tc>
          <w:tcPr>
            <w:tcW w:w="88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71F727F" w14:textId="0CB66162" w:rsidR="00EB5F72" w:rsidRPr="00B63892" w:rsidRDefault="2248451C" w:rsidP="2248451C">
            <w:pPr>
              <w:jc w:val="right"/>
              <w:rPr>
                <w:b/>
                <w:bCs/>
                <w:color w:val="000000" w:themeColor="text1"/>
                <w:sz w:val="20"/>
              </w:rPr>
            </w:pPr>
            <w:r w:rsidRPr="2248451C">
              <w:rPr>
                <w:b/>
                <w:bCs/>
                <w:color w:val="000000" w:themeColor="text1"/>
                <w:sz w:val="20"/>
              </w:rPr>
              <w:t>-19,9</w:t>
            </w:r>
          </w:p>
        </w:tc>
        <w:tc>
          <w:tcPr>
            <w:tcW w:w="73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C781786" w14:textId="03C079BC" w:rsidR="00EB5F72" w:rsidRPr="00B63892" w:rsidRDefault="2248451C" w:rsidP="2248451C">
            <w:pPr>
              <w:jc w:val="right"/>
              <w:rPr>
                <w:b/>
                <w:bCs/>
                <w:color w:val="000000" w:themeColor="text1"/>
                <w:sz w:val="20"/>
              </w:rPr>
            </w:pPr>
            <w:r w:rsidRPr="2248451C">
              <w:rPr>
                <w:b/>
                <w:bCs/>
                <w:color w:val="000000" w:themeColor="text1"/>
                <w:sz w:val="20"/>
              </w:rPr>
              <w:t>95,6</w:t>
            </w:r>
          </w:p>
        </w:tc>
      </w:tr>
    </w:tbl>
    <w:p w14:paraId="0F1775D0" w14:textId="77777777" w:rsidR="00B63892" w:rsidRDefault="00B63892" w:rsidP="00FE76A5"/>
    <w:p w14:paraId="2718D297" w14:textId="060EF4B1" w:rsidR="00546700" w:rsidRDefault="2248451C" w:rsidP="6D01B43F">
      <w:r>
        <w:t>A „</w:t>
      </w:r>
      <w:r w:rsidRPr="2248451C">
        <w:rPr>
          <w:b/>
          <w:bCs/>
        </w:rPr>
        <w:t>Hozzájárulás az EU költségvetéséhez</w:t>
      </w:r>
      <w:r>
        <w:t>” mérlegsoron 2020 július végéig 267,4</w:t>
      </w:r>
      <w:r w:rsidR="00A0445D">
        <w:t> </w:t>
      </w:r>
      <w:r>
        <w:t>milliárd forint kiadás teljesült, ami a törvényi előirányzat 67,2%-a, és a tervezettnek megfelelően alakult. E</w:t>
      </w:r>
      <w:r w:rsidR="00E12DA7">
        <w:t xml:space="preserve"> hozzájárulás</w:t>
      </w:r>
      <w:r>
        <w:t xml:space="preserve"> 19,7</w:t>
      </w:r>
      <w:r w:rsidR="00A0445D">
        <w:t> </w:t>
      </w:r>
      <w:r>
        <w:t>milliárd forinttal halad</w:t>
      </w:r>
      <w:r w:rsidR="00A0445D">
        <w:t>t</w:t>
      </w:r>
      <w:r>
        <w:t>a meg a 2019. év azonos időszakában teljesített kiadást.</w:t>
      </w:r>
    </w:p>
    <w:p w14:paraId="33658BA9" w14:textId="1DC0CEBB" w:rsidR="00546700" w:rsidRDefault="2248451C" w:rsidP="6D01B43F">
      <w:pPr>
        <w:spacing w:before="240"/>
      </w:pPr>
      <w:r w:rsidRPr="2248451C">
        <w:rPr>
          <w:rFonts w:cs="Tahoma"/>
          <w:color w:val="000000" w:themeColor="text1"/>
        </w:rPr>
        <w:t xml:space="preserve">Az </w:t>
      </w:r>
      <w:r w:rsidRPr="2248451C">
        <w:rPr>
          <w:rFonts w:cs="Tahoma"/>
          <w:b/>
          <w:bCs/>
          <w:color w:val="000000" w:themeColor="text1"/>
        </w:rPr>
        <w:t>állami vagyonnal kapcsolatos kiadások</w:t>
      </w:r>
      <w:r w:rsidRPr="2248451C">
        <w:rPr>
          <w:rFonts w:cs="Tahoma"/>
          <w:color w:val="000000" w:themeColor="text1"/>
        </w:rPr>
        <w:t xml:space="preserve"> július végi összege 204,3 milliárd forint volt, </w:t>
      </w:r>
      <w:r>
        <w:t>amelynek összetételét az alábbi diagram mutatja be:</w:t>
      </w:r>
    </w:p>
    <w:p w14:paraId="28DC2BB3" w14:textId="0E527CA4" w:rsidR="00802E7D" w:rsidRDefault="00802E7D" w:rsidP="6D01B43F">
      <w:pPr>
        <w:spacing w:before="240"/>
      </w:pPr>
      <w:r>
        <w:rPr>
          <w:noProof/>
        </w:rPr>
        <w:drawing>
          <wp:inline distT="0" distB="0" distL="0" distR="0" wp14:anchorId="0D84456C" wp14:editId="3EEEC5F8">
            <wp:extent cx="5940425" cy="3759200"/>
            <wp:effectExtent l="0" t="0" r="3175"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gyon_kiadások.png"/>
                    <pic:cNvPicPr/>
                  </pic:nvPicPr>
                  <pic:blipFill>
                    <a:blip r:embed="rId20">
                      <a:extLst>
                        <a:ext uri="{28A0092B-C50C-407E-A947-70E740481C1C}">
                          <a14:useLocalDpi xmlns:a14="http://schemas.microsoft.com/office/drawing/2010/main" val="0"/>
                        </a:ext>
                      </a:extLst>
                    </a:blip>
                    <a:stretch>
                      <a:fillRect/>
                    </a:stretch>
                  </pic:blipFill>
                  <pic:spPr>
                    <a:xfrm>
                      <a:off x="0" y="0"/>
                      <a:ext cx="5940425" cy="3759200"/>
                    </a:xfrm>
                    <a:prstGeom prst="rect">
                      <a:avLst/>
                    </a:prstGeom>
                  </pic:spPr>
                </pic:pic>
              </a:graphicData>
            </a:graphic>
          </wp:inline>
        </w:drawing>
      </w:r>
    </w:p>
    <w:p w14:paraId="36102AC3" w14:textId="365B61ED" w:rsidR="00D81F94" w:rsidRPr="00D81F94" w:rsidRDefault="00D81F94" w:rsidP="00D81F94">
      <w:pPr>
        <w:rPr>
          <w:bCs/>
          <w:iCs/>
        </w:rPr>
      </w:pPr>
      <w:r w:rsidRPr="00D81F94">
        <w:rPr>
          <w:bCs/>
          <w:iCs/>
        </w:rPr>
        <w:lastRenderedPageBreak/>
        <w:t>Az elkülönített állami pénzalapok kiadásai közül jelentősebb összeget tett ki a</w:t>
      </w:r>
      <w:r w:rsidRPr="00D81F94">
        <w:rPr>
          <w:b/>
          <w:bCs/>
          <w:iCs/>
        </w:rPr>
        <w:t xml:space="preserve"> Nemzeti Foglalkoztatási Alapból</w:t>
      </w:r>
      <w:r w:rsidRPr="00D81F94">
        <w:rPr>
          <w:bCs/>
          <w:iCs/>
        </w:rPr>
        <w:t xml:space="preserve"> finanszírozott Start-munkaprogram kiadása, mely július végéig 74,2 milliárd forintban teljesült. E kiadás az előző év azonos időszakában teljesített összegtől 21,4 milliárd forinttal maradt el. </w:t>
      </w:r>
    </w:p>
    <w:p w14:paraId="25455B33" w14:textId="5F9DD2F7" w:rsidR="00D81F94" w:rsidRPr="00D81F94" w:rsidRDefault="00D81F94" w:rsidP="00D81F94">
      <w:pPr>
        <w:rPr>
          <w:bCs/>
          <w:iCs/>
        </w:rPr>
      </w:pPr>
      <w:r w:rsidRPr="00D81F94">
        <w:rPr>
          <w:bCs/>
          <w:iCs/>
        </w:rPr>
        <w:t xml:space="preserve">A </w:t>
      </w:r>
      <w:r w:rsidRPr="00D81F94">
        <w:rPr>
          <w:b/>
          <w:bCs/>
          <w:iCs/>
        </w:rPr>
        <w:t>Bethlen Gábor Alap</w:t>
      </w:r>
      <w:r w:rsidRPr="00D81F94">
        <w:rPr>
          <w:bCs/>
          <w:iCs/>
        </w:rPr>
        <w:t xml:space="preserve"> (BGA) kiadásaiból nemzetpolitikai célokra 16,3</w:t>
      </w:r>
      <w:r w:rsidR="004919AA">
        <w:rPr>
          <w:bCs/>
          <w:iCs/>
        </w:rPr>
        <w:t> </w:t>
      </w:r>
      <w:r w:rsidRPr="00D81F94">
        <w:rPr>
          <w:bCs/>
          <w:iCs/>
        </w:rPr>
        <w:t>milliárd forint</w:t>
      </w:r>
      <w:r w:rsidR="0098487A">
        <w:rPr>
          <w:bCs/>
          <w:iCs/>
        </w:rPr>
        <w:t>ot fordítottak július végéig</w:t>
      </w:r>
      <w:r w:rsidRPr="00D81F94">
        <w:rPr>
          <w:bCs/>
          <w:iCs/>
        </w:rPr>
        <w:t>, az alapból nyújtott támogatások a BGA irányítását ellátó Bizottság döntései alapján, ütemezetten kerültek kifizetésre.</w:t>
      </w:r>
    </w:p>
    <w:p w14:paraId="70C87DA1" w14:textId="271C0C0D" w:rsidR="00D81F94" w:rsidRPr="00D81F94" w:rsidRDefault="00D81F94" w:rsidP="00D81F94">
      <w:pPr>
        <w:rPr>
          <w:bCs/>
          <w:iCs/>
        </w:rPr>
      </w:pPr>
      <w:r w:rsidRPr="00D81F94">
        <w:rPr>
          <w:bCs/>
          <w:iCs/>
        </w:rPr>
        <w:t xml:space="preserve">A </w:t>
      </w:r>
      <w:r w:rsidRPr="00D81F94">
        <w:rPr>
          <w:b/>
          <w:bCs/>
          <w:iCs/>
        </w:rPr>
        <w:t>Nemzeti Kutatási, Fejlesztési és Innovációs Alapból</w:t>
      </w:r>
      <w:r w:rsidRPr="00D81F94">
        <w:rPr>
          <w:bCs/>
          <w:iCs/>
        </w:rPr>
        <w:t xml:space="preserve"> az I-VII</w:t>
      </w:r>
      <w:r w:rsidR="00674E32">
        <w:rPr>
          <w:bCs/>
          <w:iCs/>
        </w:rPr>
        <w:t>.</w:t>
      </w:r>
      <w:r w:rsidRPr="00D81F94">
        <w:rPr>
          <w:bCs/>
          <w:iCs/>
        </w:rPr>
        <w:t xml:space="preserve"> hónapban az alaprészek</w:t>
      </w:r>
      <w:r w:rsidR="00FF30CD">
        <w:rPr>
          <w:bCs/>
          <w:iCs/>
        </w:rPr>
        <w:t>en</w:t>
      </w:r>
      <w:r w:rsidRPr="00D81F94">
        <w:rPr>
          <w:bCs/>
          <w:iCs/>
        </w:rPr>
        <w:t xml:space="preserve"> együttesen 60,9 milliárd forint teljesült, melyből 10,0 milliárd forint Kutatási Alaprészen, 50,9 milliárd forint pedig az Innovációs Alaprészen keresztül valósult meg. </w:t>
      </w:r>
    </w:p>
    <w:p w14:paraId="52863666" w14:textId="55F68BE2" w:rsidR="00BE684B" w:rsidRDefault="7710508F" w:rsidP="00A7152C">
      <w:pPr>
        <w:spacing w:before="120"/>
        <w:rPr>
          <w:szCs w:val="26"/>
        </w:rPr>
      </w:pPr>
      <w:r>
        <w:t xml:space="preserve">A </w:t>
      </w:r>
      <w:r w:rsidRPr="7710508F">
        <w:rPr>
          <w:b/>
          <w:bCs/>
        </w:rPr>
        <w:t>Nyugdíjbiztosítási Alap</w:t>
      </w:r>
      <w:r>
        <w:t xml:space="preserve"> 2020. </w:t>
      </w:r>
      <w:r w:rsidR="00BD617C">
        <w:t>I</w:t>
      </w:r>
      <w:r w:rsidR="00485535">
        <w:t>-</w:t>
      </w:r>
      <w:r w:rsidR="00BD617C">
        <w:t>V</w:t>
      </w:r>
      <w:r w:rsidR="003C75F7">
        <w:t>I</w:t>
      </w:r>
      <w:r w:rsidR="00E97236">
        <w:t>I</w:t>
      </w:r>
      <w:r w:rsidR="00BD617C">
        <w:t xml:space="preserve">. havi </w:t>
      </w:r>
      <w:r w:rsidRPr="7710508F">
        <w:rPr>
          <w:b/>
          <w:bCs/>
        </w:rPr>
        <w:t>nyugdíjkiadásai</w:t>
      </w:r>
      <w:r>
        <w:t xml:space="preserve"> </w:t>
      </w:r>
      <w:r w:rsidR="00E97236">
        <w:t>2098</w:t>
      </w:r>
      <w:r w:rsidR="003C75F7">
        <w:t>,</w:t>
      </w:r>
      <w:r w:rsidR="00E97236">
        <w:t>4</w:t>
      </w:r>
      <w:r>
        <w:t xml:space="preserve"> milliárd forintban teljesültek, ami </w:t>
      </w:r>
      <w:r w:rsidR="00E97236">
        <w:t>109</w:t>
      </w:r>
      <w:r w:rsidR="003C75F7">
        <w:t>,</w:t>
      </w:r>
      <w:r w:rsidR="00E97236">
        <w:t>9</w:t>
      </w:r>
      <w:r>
        <w:t xml:space="preserve"> milliárd forinttal haladta meg az előző év azonos időszakának kiadásait. Az </w:t>
      </w:r>
      <w:r w:rsidR="004F7700">
        <w:t>I-V</w:t>
      </w:r>
      <w:r w:rsidR="003C75F7">
        <w:t>I</w:t>
      </w:r>
      <w:r w:rsidR="00E97236">
        <w:t>I</w:t>
      </w:r>
      <w:r w:rsidR="004F7700">
        <w:t>. havi</w:t>
      </w:r>
      <w:r>
        <w:t xml:space="preserve"> kifizetések tartalmazzák a tavalyi év magasabb inflációs hatása miatti 0,7%-os kiegészítő nyugdíjemelés, és a tárgyév</w:t>
      </w:r>
      <w:r w:rsidR="004F7700">
        <w:t>ben végrehajtott</w:t>
      </w:r>
      <w:r>
        <w:t xml:space="preserve"> 2,8%</w:t>
      </w:r>
      <w:r w:rsidR="00BD32DA">
        <w:noBreakHyphen/>
      </w:r>
      <w:r>
        <w:t>os nyugdíjemelés összegét.</w:t>
      </w:r>
    </w:p>
    <w:p w14:paraId="13221B3D" w14:textId="64E3F5AA" w:rsidR="00F817BC" w:rsidRDefault="51CD5D50" w:rsidP="00F817BC">
      <w:r>
        <w:t xml:space="preserve">A nyugellátási kiadásokon belül a korbetöltött öregségi nyugellátások </w:t>
      </w:r>
      <w:r w:rsidR="00E97236">
        <w:t>6</w:t>
      </w:r>
      <w:r w:rsidR="00B71160">
        <w:t>,0</w:t>
      </w:r>
      <w:r>
        <w:t xml:space="preserve">%-kal, míg a nők 40 éves jogosultsági idejével igénybe vehető korhatár alatti ellátások </w:t>
      </w:r>
      <w:r w:rsidR="00E97236">
        <w:t>7</w:t>
      </w:r>
      <w:r w:rsidR="00B71160">
        <w:t>,0</w:t>
      </w:r>
      <w:r w:rsidR="009E7E25">
        <w:t xml:space="preserve">%-kal haladták meg </w:t>
      </w:r>
      <w:r>
        <w:t>a</w:t>
      </w:r>
      <w:r w:rsidR="009E7E25">
        <w:t xml:space="preserve">z előző év azonos időszakának </w:t>
      </w:r>
      <w:r>
        <w:t>kiadás</w:t>
      </w:r>
      <w:r w:rsidR="009E7E25">
        <w:t>ait.</w:t>
      </w:r>
      <w:r>
        <w:t xml:space="preserve"> 2019-ben nem változott az öregségi nyugellátásra jogosultság 64 éves korhatára, így az év egészében folyamatosan kerültek megállapításra új ellátások. Az öregségi nyugdíjkorhatár betöltésével a korábban nők40</w:t>
      </w:r>
      <w:r w:rsidR="004B5A00">
        <w:noBreakHyphen/>
      </w:r>
      <w:r>
        <w:t>el nyugdíjjogosulttá válók is jelentős számban kerültek át a korbetöltött öregségi nyugellátások csoportjába.</w:t>
      </w:r>
      <w:r w:rsidR="00F817BC" w:rsidRPr="083418F4">
        <w:t xml:space="preserve"> </w:t>
      </w:r>
      <w:r>
        <w:t>A korbetöltött öregségi nyugellátások korhatára 2020. január 1-</w:t>
      </w:r>
      <w:r w:rsidR="007A6439">
        <w:t>j</w:t>
      </w:r>
      <w:r>
        <w:t>étől fél évvel, 64,5 évre emelkedett. A korhatáremelés következtében 2020 első félévében – a folyamatban lévő ügyek lezárásán túl – nem kerül</w:t>
      </w:r>
      <w:r w:rsidR="00E97236">
        <w:t>t</w:t>
      </w:r>
      <w:r>
        <w:t xml:space="preserve"> sor új</w:t>
      </w:r>
      <w:r w:rsidRPr="0057795B">
        <w:t xml:space="preserve"> </w:t>
      </w:r>
      <w:r w:rsidR="00DE520F" w:rsidRPr="0057795B">
        <w:rPr>
          <w:iCs/>
        </w:rPr>
        <w:t>korbetöltött öregségi nyug</w:t>
      </w:r>
      <w:r w:rsidRPr="0057795B">
        <w:rPr>
          <w:iCs/>
        </w:rPr>
        <w:t xml:space="preserve">ellátás </w:t>
      </w:r>
      <w:r>
        <w:t xml:space="preserve">megállapítására, emiatt </w:t>
      </w:r>
      <w:r w:rsidRPr="613A0C12">
        <w:t>az öregségi nyugellátásra jogosultak létszáma az első félévben jelentősen csökken</w:t>
      </w:r>
      <w:r w:rsidR="00E97236">
        <w:t>t</w:t>
      </w:r>
      <w:r w:rsidR="00DE520F">
        <w:t>. A</w:t>
      </w:r>
      <w:r w:rsidR="00DE520F" w:rsidRPr="00DE520F">
        <w:t xml:space="preserve"> második félévben az újrainduló megállapítások a</w:t>
      </w:r>
      <w:r w:rsidR="00DE520F">
        <w:t xml:space="preserve"> korhatárt betöltött nyugellátások </w:t>
      </w:r>
      <w:r w:rsidR="00DE520F" w:rsidRPr="00DE520F">
        <w:t>szám</w:t>
      </w:r>
      <w:r w:rsidR="00DE520F">
        <w:t>ának</w:t>
      </w:r>
      <w:r w:rsidR="00DE520F" w:rsidRPr="00DE520F">
        <w:t xml:space="preserve"> és kiadás</w:t>
      </w:r>
      <w:r w:rsidR="00DE520F">
        <w:t>ainak</w:t>
      </w:r>
      <w:r w:rsidR="00DE520F" w:rsidRPr="00DE520F">
        <w:t xml:space="preserve"> év végéig tartó folyamatos emelkedését okozzák.</w:t>
      </w:r>
      <w:r>
        <w:t xml:space="preserve"> </w:t>
      </w:r>
      <w:r w:rsidRPr="0057795B">
        <w:t xml:space="preserve">A </w:t>
      </w:r>
      <w:r w:rsidRPr="0057795B">
        <w:rPr>
          <w:iCs/>
        </w:rPr>
        <w:t>nők</w:t>
      </w:r>
      <w:r w:rsidR="00AB06D9" w:rsidRPr="0057795B">
        <w:rPr>
          <w:iCs/>
        </w:rPr>
        <w:t xml:space="preserve"> </w:t>
      </w:r>
      <w:r w:rsidRPr="0057795B">
        <w:rPr>
          <w:iCs/>
        </w:rPr>
        <w:t>40 éves jogosultsági idejével igénybe vehető korhatár alatti ellátásokra</w:t>
      </w:r>
      <w:r w:rsidRPr="0057795B">
        <w:t xml:space="preserve"> </w:t>
      </w:r>
      <w:r>
        <w:t xml:space="preserve">a korhatáremelés nincs hatással, így ezen az ellátási jogcímen az első félév végéig </w:t>
      </w:r>
      <w:r w:rsidRPr="613A0C12">
        <w:t>folyamatos ellátásszám</w:t>
      </w:r>
      <w:r w:rsidR="00336992" w:rsidRPr="083418F4">
        <w:t>-</w:t>
      </w:r>
      <w:r w:rsidRPr="613A0C12">
        <w:t xml:space="preserve">növekedés </w:t>
      </w:r>
      <w:r w:rsidR="00DE520F">
        <w:t xml:space="preserve">volt </w:t>
      </w:r>
      <w:r w:rsidRPr="613A0C12">
        <w:t>tapasztalható</w:t>
      </w:r>
      <w:r w:rsidRPr="083418F4">
        <w:t>.</w:t>
      </w:r>
      <w:r w:rsidR="00DE520F">
        <w:t xml:space="preserve"> A második félévben </w:t>
      </w:r>
      <w:r w:rsidR="00EF21EA">
        <w:t xml:space="preserve">a nők40 ellátási jogcímen – az öregségi nyugdíjkorhatár betöltése miatt – csökkenés, </w:t>
      </w:r>
      <w:r w:rsidR="00DE520F">
        <w:t>a korbetöltött ellátási jogcímre történő átcsoportosulás</w:t>
      </w:r>
      <w:r w:rsidR="00EF21EA">
        <w:t xml:space="preserve"> várható</w:t>
      </w:r>
      <w:r w:rsidR="00DE520F" w:rsidRPr="083418F4">
        <w:t xml:space="preserve">. </w:t>
      </w:r>
      <w:r w:rsidR="00F817BC">
        <w:t xml:space="preserve">A nyugellátási kiadások </w:t>
      </w:r>
      <w:r w:rsidR="00EF21EA">
        <w:t xml:space="preserve">egyes </w:t>
      </w:r>
      <w:r w:rsidR="00F817BC">
        <w:t>ellátási jogcímeinek alakulását a következő ábra mutatja be:</w:t>
      </w:r>
    </w:p>
    <w:p w14:paraId="61C9F531" w14:textId="64EA087A" w:rsidR="00FE7788" w:rsidRDefault="006A65AD" w:rsidP="00F817BC">
      <w:r>
        <w:rPr>
          <w:noProof/>
        </w:rPr>
        <w:lastRenderedPageBreak/>
        <w:drawing>
          <wp:inline distT="0" distB="0" distL="0" distR="0" wp14:anchorId="01541328" wp14:editId="5C521A3C">
            <wp:extent cx="5940425" cy="2344420"/>
            <wp:effectExtent l="0" t="0" r="3175"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ugellatasi_kiadasok.png"/>
                    <pic:cNvPicPr/>
                  </pic:nvPicPr>
                  <pic:blipFill>
                    <a:blip r:embed="rId21">
                      <a:extLst>
                        <a:ext uri="{28A0092B-C50C-407E-A947-70E740481C1C}">
                          <a14:useLocalDpi xmlns:a14="http://schemas.microsoft.com/office/drawing/2010/main" val="0"/>
                        </a:ext>
                      </a:extLst>
                    </a:blip>
                    <a:stretch>
                      <a:fillRect/>
                    </a:stretch>
                  </pic:blipFill>
                  <pic:spPr>
                    <a:xfrm>
                      <a:off x="0" y="0"/>
                      <a:ext cx="5940425" cy="2344420"/>
                    </a:xfrm>
                    <a:prstGeom prst="rect">
                      <a:avLst/>
                    </a:prstGeom>
                  </pic:spPr>
                </pic:pic>
              </a:graphicData>
            </a:graphic>
          </wp:inline>
        </w:drawing>
      </w:r>
    </w:p>
    <w:p w14:paraId="675383E3" w14:textId="77777777" w:rsidR="003265CE" w:rsidRDefault="003265CE" w:rsidP="00F817BC"/>
    <w:p w14:paraId="03E601C7" w14:textId="77777777" w:rsidR="00B574E7" w:rsidRDefault="00B574E7" w:rsidP="00F817BC"/>
    <w:p w14:paraId="24C239F1" w14:textId="43BD53EC" w:rsidR="0080719D" w:rsidRDefault="2248451C" w:rsidP="00D93DBE">
      <w:r>
        <w:t xml:space="preserve">Az </w:t>
      </w:r>
      <w:r w:rsidRPr="2248451C">
        <w:rPr>
          <w:b/>
          <w:bCs/>
        </w:rPr>
        <w:t>Egészségbiztosítási Alap kiadásainak</w:t>
      </w:r>
      <w:r>
        <w:t xml:space="preserve"> összetételét a következő ábra mutatja be:</w:t>
      </w:r>
    </w:p>
    <w:p w14:paraId="349B3755" w14:textId="6CA27A99" w:rsidR="00DE5522" w:rsidRDefault="009E0E36" w:rsidP="00D93DBE">
      <w:r>
        <w:rPr>
          <w:noProof/>
        </w:rPr>
        <w:drawing>
          <wp:inline distT="0" distB="0" distL="0" distR="0" wp14:anchorId="30462137" wp14:editId="54B319B0">
            <wp:extent cx="5940425" cy="2356485"/>
            <wp:effectExtent l="0" t="0" r="3175" b="571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lap_kiadásai.png"/>
                    <pic:cNvPicPr/>
                  </pic:nvPicPr>
                  <pic:blipFill>
                    <a:blip r:embed="rId22">
                      <a:extLst>
                        <a:ext uri="{28A0092B-C50C-407E-A947-70E740481C1C}">
                          <a14:useLocalDpi xmlns:a14="http://schemas.microsoft.com/office/drawing/2010/main" val="0"/>
                        </a:ext>
                      </a:extLst>
                    </a:blip>
                    <a:stretch>
                      <a:fillRect/>
                    </a:stretch>
                  </pic:blipFill>
                  <pic:spPr>
                    <a:xfrm>
                      <a:off x="0" y="0"/>
                      <a:ext cx="5940425" cy="2356485"/>
                    </a:xfrm>
                    <a:prstGeom prst="rect">
                      <a:avLst/>
                    </a:prstGeom>
                  </pic:spPr>
                </pic:pic>
              </a:graphicData>
            </a:graphic>
          </wp:inline>
        </w:drawing>
      </w:r>
    </w:p>
    <w:p w14:paraId="75ED5272" w14:textId="77777777" w:rsidR="009E0E36" w:rsidRPr="000C037A" w:rsidRDefault="009E0E36" w:rsidP="00D93DBE"/>
    <w:p w14:paraId="0B3058E7" w14:textId="611AC6B6" w:rsidR="4EFB9DEF" w:rsidRDefault="2248451C" w:rsidP="4EFB9DEF">
      <w:r w:rsidRPr="003E105C">
        <w:t xml:space="preserve">A </w:t>
      </w:r>
      <w:r w:rsidRPr="003E105C">
        <w:rPr>
          <w:b/>
        </w:rPr>
        <w:t xml:space="preserve">gyógyító-megelőző ellátásokra </w:t>
      </w:r>
      <w:r w:rsidRPr="003E105C">
        <w:t>fordított kiadás 2020. első hét hónapjában 973,3</w:t>
      </w:r>
      <w:r w:rsidR="003E105C">
        <w:t> </w:t>
      </w:r>
      <w:r w:rsidRPr="003E105C">
        <w:t>milliárd forintot tett ki</w:t>
      </w:r>
      <w:r w:rsidR="00E618A6">
        <w:t>, szemben</w:t>
      </w:r>
      <w:r w:rsidRPr="003E105C">
        <w:t xml:space="preserve"> a 2019. I-VII. havi 738,5</w:t>
      </w:r>
      <w:r w:rsidR="003E105C">
        <w:t> </w:t>
      </w:r>
      <w:r w:rsidRPr="003E105C">
        <w:t>milliárd forinttal</w:t>
      </w:r>
      <w:r w:rsidR="00E618A6">
        <w:t>.</w:t>
      </w:r>
      <w:r w:rsidRPr="003E105C">
        <w:t xml:space="preserve"> Az előző évhez viszonyított magasabb összegű kiadás meghatározó részben a célelőirányzatoknál (az adósságrendezésre február és március hónapban biztosított többletfinanszírozással, a 2019. júliusi 8%-os és a 2020. januári </w:t>
      </w:r>
      <w:r w:rsidR="00434DB6">
        <w:t>–</w:t>
      </w:r>
      <w:r w:rsidRPr="003E105C">
        <w:t xml:space="preserve"> a 2018. évi bérhez viszonyított </w:t>
      </w:r>
      <w:r w:rsidR="00434DB6">
        <w:t>–</w:t>
      </w:r>
      <w:r w:rsidRPr="003E105C">
        <w:t xml:space="preserve"> 14%-os béremeléssel, valamint az egészségügyi és egészségügyben dolgozókat érintő egyszeri rendkívüli juttatással (101,3</w:t>
      </w:r>
      <w:r w:rsidR="00434DB6">
        <w:t> </w:t>
      </w:r>
      <w:r w:rsidRPr="003E105C">
        <w:t>milliárd forint) összefüggően), valamint az összevont szakellátásnál (azon belül elsősorban a nagy</w:t>
      </w:r>
      <w:r w:rsidR="00434DB6">
        <w:t xml:space="preserve"> </w:t>
      </w:r>
      <w:r w:rsidRPr="003E105C">
        <w:t>értékű gyógyszerfinanszírozásnál) jelentkezik.</w:t>
      </w:r>
    </w:p>
    <w:p w14:paraId="0FFCD8B3" w14:textId="222C1A21" w:rsidR="4EFB9DEF" w:rsidRDefault="2248451C" w:rsidP="4EFB9DEF">
      <w:r w:rsidRPr="2248451C">
        <w:rPr>
          <w:b/>
          <w:bCs/>
        </w:rPr>
        <w:t>Gyógyszertámogatásra</w:t>
      </w:r>
      <w:r>
        <w:t xml:space="preserve"> az év első hét hónapjában 236,0</w:t>
      </w:r>
      <w:r w:rsidR="00244A0D">
        <w:t> </w:t>
      </w:r>
      <w:r>
        <w:t>milliárd forintot fordítottak, amely 16,8</w:t>
      </w:r>
      <w:r w:rsidR="00244A0D">
        <w:t> </w:t>
      </w:r>
      <w:r>
        <w:t>milliárd forinttal több az előző év azonos időszakában kifizetett összegnél.</w:t>
      </w:r>
    </w:p>
    <w:p w14:paraId="3D681EC3" w14:textId="4BA4CE41" w:rsidR="00D713B8" w:rsidRDefault="2248451C" w:rsidP="60A05D1C">
      <w:r>
        <w:t>Az Egészségbiztosítási Alap összes kiadásának 25,2%-át a pénzbeli ellátásokra fordított összeg adta. Az ellátások részletes bemutatását a következő táblázat tartalmazza:</w:t>
      </w:r>
      <w:r w:rsidR="00D713B8">
        <w:br w:type="page"/>
      </w:r>
    </w:p>
    <w:tbl>
      <w:tblPr>
        <w:tblW w:w="7230" w:type="dxa"/>
        <w:tblInd w:w="779" w:type="dxa"/>
        <w:tblLayout w:type="fixed"/>
        <w:tblCellMar>
          <w:left w:w="70" w:type="dxa"/>
          <w:right w:w="70" w:type="dxa"/>
        </w:tblCellMar>
        <w:tblLook w:val="04A0" w:firstRow="1" w:lastRow="0" w:firstColumn="1" w:lastColumn="0" w:noHBand="0" w:noVBand="1"/>
      </w:tblPr>
      <w:tblGrid>
        <w:gridCol w:w="3827"/>
        <w:gridCol w:w="993"/>
        <w:gridCol w:w="992"/>
        <w:gridCol w:w="753"/>
        <w:gridCol w:w="665"/>
      </w:tblGrid>
      <w:tr w:rsidR="007A0A81" w:rsidRPr="00803AEA" w14:paraId="3F602428" w14:textId="77777777" w:rsidTr="2248451C">
        <w:trPr>
          <w:trHeight w:val="227"/>
        </w:trPr>
        <w:tc>
          <w:tcPr>
            <w:tcW w:w="7230" w:type="dxa"/>
            <w:gridSpan w:val="5"/>
            <w:tcBorders>
              <w:top w:val="nil"/>
              <w:left w:val="nil"/>
              <w:bottom w:val="nil"/>
              <w:right w:val="nil"/>
            </w:tcBorders>
            <w:shd w:val="clear" w:color="auto" w:fill="auto"/>
            <w:vAlign w:val="center"/>
            <w:hideMark/>
          </w:tcPr>
          <w:p w14:paraId="692EB199" w14:textId="77777777" w:rsidR="007A0A81" w:rsidRPr="00803AEA" w:rsidRDefault="2248451C" w:rsidP="2248451C">
            <w:pPr>
              <w:jc w:val="center"/>
              <w:rPr>
                <w:b/>
                <w:bCs/>
                <w:color w:val="000000" w:themeColor="text1"/>
                <w:sz w:val="20"/>
              </w:rPr>
            </w:pPr>
            <w:r w:rsidRPr="2248451C">
              <w:rPr>
                <w:b/>
                <w:bCs/>
                <w:color w:val="000000" w:themeColor="text1"/>
                <w:sz w:val="20"/>
              </w:rPr>
              <w:lastRenderedPageBreak/>
              <w:t>Az Egészségbiztosítási Alap pénzbeli ellátásokra fordított kiadásainak alakulása (milliárd forint)</w:t>
            </w:r>
          </w:p>
        </w:tc>
      </w:tr>
      <w:tr w:rsidR="007A0A81" w:rsidRPr="00DB479B" w14:paraId="49990F57" w14:textId="77777777" w:rsidTr="2248451C">
        <w:trPr>
          <w:trHeight w:val="306"/>
        </w:trPr>
        <w:tc>
          <w:tcPr>
            <w:tcW w:w="3827"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6657E9BF" w14:textId="77777777" w:rsidR="007A0A81" w:rsidRPr="00DB479B" w:rsidRDefault="2248451C" w:rsidP="2248451C">
            <w:pPr>
              <w:spacing w:after="0"/>
              <w:jc w:val="center"/>
              <w:rPr>
                <w:b/>
                <w:bCs/>
                <w:sz w:val="20"/>
              </w:rPr>
            </w:pPr>
            <w:r w:rsidRPr="2248451C">
              <w:rPr>
                <w:b/>
                <w:bCs/>
                <w:sz w:val="20"/>
              </w:rPr>
              <w:t>Megnevezés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F2EB5" w14:textId="6ECA8FEC" w:rsidR="007A0A81" w:rsidRPr="00DB479B" w:rsidRDefault="2248451C" w:rsidP="2248451C">
            <w:pPr>
              <w:spacing w:after="0"/>
              <w:jc w:val="center"/>
              <w:rPr>
                <w:b/>
                <w:bCs/>
                <w:sz w:val="20"/>
              </w:rPr>
            </w:pPr>
            <w:r w:rsidRPr="2248451C">
              <w:rPr>
                <w:b/>
                <w:bCs/>
                <w:sz w:val="20"/>
              </w:rPr>
              <w:t xml:space="preserve">2019. </w:t>
            </w:r>
            <w:r w:rsidR="6D01B43F">
              <w:br/>
            </w:r>
            <w:r w:rsidRPr="2248451C">
              <w:rPr>
                <w:b/>
                <w:bCs/>
                <w:sz w:val="20"/>
              </w:rPr>
              <w:t>I-VII. hó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9FCC4A" w14:textId="195DC405" w:rsidR="007A0A81" w:rsidRPr="00DB479B" w:rsidRDefault="2248451C" w:rsidP="2248451C">
            <w:pPr>
              <w:spacing w:after="0"/>
              <w:jc w:val="center"/>
              <w:rPr>
                <w:b/>
                <w:bCs/>
                <w:sz w:val="20"/>
              </w:rPr>
            </w:pPr>
            <w:r w:rsidRPr="2248451C">
              <w:rPr>
                <w:b/>
                <w:bCs/>
                <w:sz w:val="20"/>
              </w:rPr>
              <w:t>2020.</w:t>
            </w:r>
            <w:r w:rsidR="6D01B43F">
              <w:br/>
            </w:r>
            <w:r w:rsidRPr="2248451C">
              <w:rPr>
                <w:b/>
                <w:bCs/>
                <w:sz w:val="20"/>
              </w:rPr>
              <w:t>I-VII. hó</w:t>
            </w:r>
          </w:p>
        </w:tc>
        <w:tc>
          <w:tcPr>
            <w:tcW w:w="1418"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596D1A5C" w14:textId="77777777" w:rsidR="007A0A81" w:rsidRPr="00DB479B" w:rsidRDefault="2248451C" w:rsidP="2248451C">
            <w:pPr>
              <w:spacing w:after="0"/>
              <w:jc w:val="center"/>
              <w:rPr>
                <w:b/>
                <w:bCs/>
                <w:sz w:val="20"/>
              </w:rPr>
            </w:pPr>
            <w:r w:rsidRPr="2248451C">
              <w:rPr>
                <w:b/>
                <w:bCs/>
                <w:sz w:val="20"/>
              </w:rPr>
              <w:t>Eltérés</w:t>
            </w:r>
          </w:p>
        </w:tc>
      </w:tr>
      <w:tr w:rsidR="007A0A81" w:rsidRPr="00DB479B" w14:paraId="31743F96" w14:textId="77777777" w:rsidTr="2248451C">
        <w:trPr>
          <w:trHeight w:val="306"/>
        </w:trPr>
        <w:tc>
          <w:tcPr>
            <w:tcW w:w="3827" w:type="dxa"/>
            <w:vMerge/>
            <w:tcBorders>
              <w:top w:val="single" w:sz="4" w:space="0" w:color="auto"/>
              <w:left w:val="single" w:sz="4" w:space="0" w:color="auto"/>
              <w:bottom w:val="single" w:sz="4" w:space="0" w:color="000000"/>
              <w:right w:val="single" w:sz="4" w:space="0" w:color="auto"/>
            </w:tcBorders>
            <w:vAlign w:val="center"/>
            <w:hideMark/>
          </w:tcPr>
          <w:p w14:paraId="0FEE673B" w14:textId="77777777" w:rsidR="007A0A81" w:rsidRPr="00DB479B" w:rsidRDefault="007A0A81" w:rsidP="00CD6EB3">
            <w:pPr>
              <w:spacing w:after="0"/>
              <w:jc w:val="left"/>
              <w:rPr>
                <w:b/>
                <w:bCs/>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B081E" w14:textId="77777777" w:rsidR="007A0A81" w:rsidRPr="00DB479B" w:rsidRDefault="007A0A81" w:rsidP="00CD6EB3">
            <w:pPr>
              <w:spacing w:after="0"/>
              <w:jc w:val="left"/>
              <w:rPr>
                <w:b/>
                <w:bCs/>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733DE5" w14:textId="77777777" w:rsidR="007A0A81" w:rsidRPr="00DB479B" w:rsidRDefault="007A0A81" w:rsidP="00CD6EB3">
            <w:pPr>
              <w:spacing w:after="0"/>
              <w:jc w:val="left"/>
              <w:rPr>
                <w:b/>
                <w:bCs/>
                <w:sz w:val="20"/>
              </w:rPr>
            </w:pPr>
          </w:p>
        </w:tc>
        <w:tc>
          <w:tcPr>
            <w:tcW w:w="753" w:type="dxa"/>
            <w:tcBorders>
              <w:top w:val="nil"/>
              <w:left w:val="nil"/>
              <w:bottom w:val="single" w:sz="4" w:space="0" w:color="auto"/>
              <w:right w:val="single" w:sz="4" w:space="0" w:color="auto"/>
            </w:tcBorders>
            <w:shd w:val="clear" w:color="auto" w:fill="auto"/>
            <w:noWrap/>
            <w:vAlign w:val="bottom"/>
            <w:hideMark/>
          </w:tcPr>
          <w:p w14:paraId="541A293F" w14:textId="77777777" w:rsidR="007A0A81" w:rsidRPr="00DB479B" w:rsidRDefault="2248451C" w:rsidP="2248451C">
            <w:pPr>
              <w:spacing w:after="0"/>
              <w:jc w:val="center"/>
              <w:rPr>
                <w:b/>
                <w:bCs/>
                <w:sz w:val="20"/>
              </w:rPr>
            </w:pPr>
            <w:r w:rsidRPr="2248451C">
              <w:rPr>
                <w:b/>
                <w:bCs/>
                <w:sz w:val="20"/>
              </w:rPr>
              <w:t>Mrd Ft</w:t>
            </w:r>
          </w:p>
        </w:tc>
        <w:tc>
          <w:tcPr>
            <w:tcW w:w="665" w:type="dxa"/>
            <w:tcBorders>
              <w:top w:val="nil"/>
              <w:left w:val="nil"/>
              <w:bottom w:val="single" w:sz="4" w:space="0" w:color="auto"/>
              <w:right w:val="single" w:sz="4" w:space="0" w:color="auto"/>
            </w:tcBorders>
            <w:shd w:val="clear" w:color="auto" w:fill="auto"/>
            <w:noWrap/>
            <w:vAlign w:val="bottom"/>
            <w:hideMark/>
          </w:tcPr>
          <w:p w14:paraId="0AAD326D" w14:textId="77777777" w:rsidR="007A0A81" w:rsidRPr="00DB479B" w:rsidRDefault="2248451C" w:rsidP="2248451C">
            <w:pPr>
              <w:spacing w:after="0"/>
              <w:jc w:val="center"/>
              <w:rPr>
                <w:b/>
                <w:bCs/>
                <w:sz w:val="20"/>
              </w:rPr>
            </w:pPr>
            <w:r w:rsidRPr="2248451C">
              <w:rPr>
                <w:b/>
                <w:bCs/>
                <w:sz w:val="20"/>
              </w:rPr>
              <w:t>%</w:t>
            </w:r>
          </w:p>
        </w:tc>
      </w:tr>
      <w:tr w:rsidR="007A0A81" w:rsidRPr="00DB479B" w14:paraId="6113CEE5" w14:textId="77777777" w:rsidTr="2248451C">
        <w:trPr>
          <w:trHeight w:val="306"/>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3B83BFA" w14:textId="77777777" w:rsidR="007A0A81" w:rsidRPr="00DB479B" w:rsidRDefault="2248451C" w:rsidP="2248451C">
            <w:pPr>
              <w:spacing w:after="0"/>
              <w:jc w:val="left"/>
              <w:rPr>
                <w:b/>
                <w:bCs/>
                <w:sz w:val="20"/>
              </w:rPr>
            </w:pPr>
            <w:r w:rsidRPr="2248451C">
              <w:rPr>
                <w:b/>
                <w:bCs/>
                <w:sz w:val="20"/>
              </w:rPr>
              <w:t>Pénzbeli ellátások</w:t>
            </w:r>
          </w:p>
        </w:tc>
        <w:tc>
          <w:tcPr>
            <w:tcW w:w="993" w:type="dxa"/>
            <w:tcBorders>
              <w:top w:val="nil"/>
              <w:left w:val="nil"/>
              <w:bottom w:val="single" w:sz="4" w:space="0" w:color="auto"/>
              <w:right w:val="single" w:sz="4" w:space="0" w:color="auto"/>
            </w:tcBorders>
            <w:shd w:val="clear" w:color="auto" w:fill="auto"/>
            <w:vAlign w:val="bottom"/>
          </w:tcPr>
          <w:p w14:paraId="5DE1C188" w14:textId="1B6241E1" w:rsidR="007A0A81" w:rsidRPr="00C11F06" w:rsidRDefault="2248451C" w:rsidP="2248451C">
            <w:pPr>
              <w:spacing w:after="0"/>
              <w:jc w:val="right"/>
              <w:rPr>
                <w:b/>
                <w:bCs/>
                <w:sz w:val="20"/>
              </w:rPr>
            </w:pPr>
            <w:r w:rsidRPr="2248451C">
              <w:rPr>
                <w:b/>
                <w:bCs/>
                <w:sz w:val="20"/>
              </w:rPr>
              <w:t>394,2</w:t>
            </w:r>
          </w:p>
        </w:tc>
        <w:tc>
          <w:tcPr>
            <w:tcW w:w="992" w:type="dxa"/>
            <w:tcBorders>
              <w:top w:val="nil"/>
              <w:left w:val="nil"/>
              <w:bottom w:val="single" w:sz="4" w:space="0" w:color="auto"/>
              <w:right w:val="single" w:sz="4" w:space="0" w:color="auto"/>
            </w:tcBorders>
            <w:shd w:val="clear" w:color="auto" w:fill="auto"/>
            <w:vAlign w:val="bottom"/>
          </w:tcPr>
          <w:p w14:paraId="38CA64D6" w14:textId="45E5ACF6" w:rsidR="007A0A81" w:rsidRPr="00DB479B" w:rsidRDefault="2248451C" w:rsidP="2248451C">
            <w:pPr>
              <w:spacing w:after="0" w:line="259" w:lineRule="auto"/>
              <w:jc w:val="right"/>
              <w:rPr>
                <w:b/>
                <w:bCs/>
                <w:sz w:val="20"/>
              </w:rPr>
            </w:pPr>
            <w:r w:rsidRPr="2248451C">
              <w:rPr>
                <w:b/>
                <w:bCs/>
                <w:sz w:val="20"/>
              </w:rPr>
              <w:t>429,0</w:t>
            </w:r>
          </w:p>
        </w:tc>
        <w:tc>
          <w:tcPr>
            <w:tcW w:w="753" w:type="dxa"/>
            <w:tcBorders>
              <w:top w:val="nil"/>
              <w:left w:val="nil"/>
              <w:bottom w:val="single" w:sz="4" w:space="0" w:color="auto"/>
              <w:right w:val="single" w:sz="4" w:space="0" w:color="auto"/>
            </w:tcBorders>
            <w:shd w:val="clear" w:color="auto" w:fill="auto"/>
            <w:noWrap/>
            <w:vAlign w:val="bottom"/>
          </w:tcPr>
          <w:p w14:paraId="478B24D5" w14:textId="09270005" w:rsidR="007A0A81" w:rsidRPr="00DB479B" w:rsidRDefault="2248451C" w:rsidP="2248451C">
            <w:pPr>
              <w:spacing w:after="0" w:line="259" w:lineRule="auto"/>
              <w:jc w:val="right"/>
              <w:rPr>
                <w:b/>
                <w:bCs/>
                <w:sz w:val="20"/>
              </w:rPr>
            </w:pPr>
            <w:r w:rsidRPr="2248451C">
              <w:rPr>
                <w:b/>
                <w:bCs/>
                <w:sz w:val="20"/>
              </w:rPr>
              <w:t>34,8</w:t>
            </w:r>
          </w:p>
        </w:tc>
        <w:tc>
          <w:tcPr>
            <w:tcW w:w="665" w:type="dxa"/>
            <w:tcBorders>
              <w:top w:val="nil"/>
              <w:left w:val="nil"/>
              <w:bottom w:val="single" w:sz="4" w:space="0" w:color="auto"/>
              <w:right w:val="single" w:sz="4" w:space="0" w:color="auto"/>
            </w:tcBorders>
            <w:shd w:val="clear" w:color="auto" w:fill="auto"/>
            <w:noWrap/>
            <w:vAlign w:val="bottom"/>
          </w:tcPr>
          <w:p w14:paraId="4010D6F8" w14:textId="10650B8A" w:rsidR="007A0A81" w:rsidRPr="00DB479B" w:rsidRDefault="2248451C" w:rsidP="2248451C">
            <w:pPr>
              <w:spacing w:after="0" w:line="259" w:lineRule="auto"/>
              <w:jc w:val="right"/>
              <w:rPr>
                <w:b/>
                <w:bCs/>
                <w:sz w:val="20"/>
              </w:rPr>
            </w:pPr>
            <w:r w:rsidRPr="2248451C">
              <w:rPr>
                <w:b/>
                <w:bCs/>
                <w:sz w:val="20"/>
              </w:rPr>
              <w:t>108,8</w:t>
            </w:r>
          </w:p>
        </w:tc>
      </w:tr>
      <w:tr w:rsidR="007A0A81" w:rsidRPr="00DB479B" w14:paraId="16840362" w14:textId="77777777" w:rsidTr="2248451C">
        <w:trPr>
          <w:trHeight w:val="306"/>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FF5091F" w14:textId="77777777" w:rsidR="007A0A81" w:rsidRPr="00DB479B" w:rsidRDefault="2248451C" w:rsidP="2248451C">
            <w:pPr>
              <w:spacing w:after="0"/>
              <w:ind w:firstLine="285"/>
              <w:jc w:val="left"/>
              <w:rPr>
                <w:i/>
                <w:iCs/>
                <w:sz w:val="20"/>
              </w:rPr>
            </w:pPr>
            <w:r w:rsidRPr="2248451C">
              <w:rPr>
                <w:i/>
                <w:iCs/>
                <w:sz w:val="20"/>
              </w:rPr>
              <w:t>Ebből:</w:t>
            </w:r>
          </w:p>
        </w:tc>
        <w:tc>
          <w:tcPr>
            <w:tcW w:w="993" w:type="dxa"/>
            <w:tcBorders>
              <w:top w:val="nil"/>
              <w:left w:val="nil"/>
              <w:bottom w:val="single" w:sz="4" w:space="0" w:color="auto"/>
              <w:right w:val="single" w:sz="4" w:space="0" w:color="auto"/>
            </w:tcBorders>
            <w:shd w:val="clear" w:color="auto" w:fill="auto"/>
            <w:vAlign w:val="center"/>
          </w:tcPr>
          <w:p w14:paraId="066BD39D" w14:textId="457E76B4" w:rsidR="007A0A81" w:rsidRPr="00DB479B" w:rsidRDefault="007A0A81" w:rsidP="00CD6EB3">
            <w:pPr>
              <w:spacing w:after="0"/>
              <w:jc w:val="center"/>
              <w:rPr>
                <w:b/>
                <w:bCs/>
                <w:sz w:val="20"/>
              </w:rPr>
            </w:pPr>
          </w:p>
        </w:tc>
        <w:tc>
          <w:tcPr>
            <w:tcW w:w="992" w:type="dxa"/>
            <w:tcBorders>
              <w:top w:val="nil"/>
              <w:left w:val="nil"/>
              <w:bottom w:val="single" w:sz="4" w:space="0" w:color="auto"/>
              <w:right w:val="single" w:sz="4" w:space="0" w:color="auto"/>
            </w:tcBorders>
            <w:shd w:val="clear" w:color="auto" w:fill="auto"/>
            <w:vAlign w:val="center"/>
          </w:tcPr>
          <w:p w14:paraId="71A1F058" w14:textId="506ECB6A" w:rsidR="007A0A81" w:rsidRPr="00DB479B" w:rsidRDefault="007A0A81" w:rsidP="00CD6EB3">
            <w:pPr>
              <w:spacing w:after="0"/>
              <w:jc w:val="center"/>
              <w:rPr>
                <w:b/>
                <w:bCs/>
                <w:sz w:val="20"/>
              </w:rPr>
            </w:pPr>
          </w:p>
        </w:tc>
        <w:tc>
          <w:tcPr>
            <w:tcW w:w="753" w:type="dxa"/>
            <w:tcBorders>
              <w:top w:val="nil"/>
              <w:left w:val="nil"/>
              <w:bottom w:val="single" w:sz="4" w:space="0" w:color="auto"/>
              <w:right w:val="single" w:sz="4" w:space="0" w:color="auto"/>
            </w:tcBorders>
            <w:shd w:val="clear" w:color="auto" w:fill="auto"/>
            <w:noWrap/>
            <w:vAlign w:val="bottom"/>
          </w:tcPr>
          <w:p w14:paraId="6C8E56A7" w14:textId="7104639F" w:rsidR="007A0A81" w:rsidRPr="00DB479B" w:rsidRDefault="007A0A81" w:rsidP="00CD6EB3">
            <w:pPr>
              <w:spacing w:after="0"/>
              <w:jc w:val="right"/>
              <w:rPr>
                <w:sz w:val="20"/>
              </w:rPr>
            </w:pPr>
          </w:p>
        </w:tc>
        <w:tc>
          <w:tcPr>
            <w:tcW w:w="665" w:type="dxa"/>
            <w:tcBorders>
              <w:top w:val="nil"/>
              <w:left w:val="nil"/>
              <w:bottom w:val="single" w:sz="4" w:space="0" w:color="auto"/>
              <w:right w:val="single" w:sz="4" w:space="0" w:color="auto"/>
            </w:tcBorders>
            <w:shd w:val="clear" w:color="auto" w:fill="auto"/>
            <w:noWrap/>
            <w:vAlign w:val="bottom"/>
          </w:tcPr>
          <w:p w14:paraId="2B9F3A15" w14:textId="08599DB8" w:rsidR="007A0A81" w:rsidRPr="00DB479B" w:rsidRDefault="007A0A81" w:rsidP="00CD6EB3">
            <w:pPr>
              <w:spacing w:after="0"/>
              <w:jc w:val="right"/>
              <w:rPr>
                <w:sz w:val="20"/>
              </w:rPr>
            </w:pPr>
          </w:p>
        </w:tc>
      </w:tr>
      <w:tr w:rsidR="007A0A81" w:rsidRPr="00DB479B" w14:paraId="7D052013" w14:textId="77777777" w:rsidTr="2248451C">
        <w:trPr>
          <w:trHeight w:val="306"/>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1829294" w14:textId="77777777" w:rsidR="007A0A81" w:rsidRPr="00DB479B" w:rsidRDefault="2248451C" w:rsidP="2248451C">
            <w:pPr>
              <w:spacing w:after="0"/>
              <w:ind w:firstLineChars="284" w:firstLine="568"/>
              <w:jc w:val="left"/>
              <w:rPr>
                <w:i/>
                <w:iCs/>
                <w:sz w:val="20"/>
              </w:rPr>
            </w:pPr>
            <w:r w:rsidRPr="2248451C">
              <w:rPr>
                <w:i/>
                <w:iCs/>
                <w:sz w:val="20"/>
              </w:rPr>
              <w:t>Rokkantsági, rehabilitációs ellátások</w:t>
            </w:r>
          </w:p>
        </w:tc>
        <w:tc>
          <w:tcPr>
            <w:tcW w:w="993" w:type="dxa"/>
            <w:tcBorders>
              <w:top w:val="nil"/>
              <w:left w:val="nil"/>
              <w:bottom w:val="single" w:sz="4" w:space="0" w:color="auto"/>
              <w:right w:val="single" w:sz="4" w:space="0" w:color="auto"/>
            </w:tcBorders>
            <w:shd w:val="clear" w:color="auto" w:fill="auto"/>
            <w:noWrap/>
            <w:vAlign w:val="bottom"/>
          </w:tcPr>
          <w:p w14:paraId="693E18A5" w14:textId="274A04BE" w:rsidR="007A0A81" w:rsidRPr="00DB479B" w:rsidRDefault="2248451C" w:rsidP="2248451C">
            <w:pPr>
              <w:spacing w:after="0"/>
              <w:jc w:val="right"/>
              <w:rPr>
                <w:sz w:val="20"/>
              </w:rPr>
            </w:pPr>
            <w:r w:rsidRPr="2248451C">
              <w:rPr>
                <w:sz w:val="20"/>
              </w:rPr>
              <w:t>163,6</w:t>
            </w:r>
          </w:p>
        </w:tc>
        <w:tc>
          <w:tcPr>
            <w:tcW w:w="992" w:type="dxa"/>
            <w:tcBorders>
              <w:top w:val="nil"/>
              <w:left w:val="nil"/>
              <w:bottom w:val="single" w:sz="4" w:space="0" w:color="auto"/>
              <w:right w:val="single" w:sz="4" w:space="0" w:color="auto"/>
            </w:tcBorders>
            <w:shd w:val="clear" w:color="auto" w:fill="auto"/>
            <w:noWrap/>
            <w:vAlign w:val="bottom"/>
          </w:tcPr>
          <w:p w14:paraId="0E446CD4" w14:textId="72931153" w:rsidR="007A0A81" w:rsidRPr="00DB479B" w:rsidRDefault="2248451C" w:rsidP="2248451C">
            <w:pPr>
              <w:spacing w:after="0" w:line="259" w:lineRule="auto"/>
              <w:jc w:val="right"/>
              <w:rPr>
                <w:sz w:val="20"/>
              </w:rPr>
            </w:pPr>
            <w:r w:rsidRPr="2248451C">
              <w:rPr>
                <w:sz w:val="20"/>
              </w:rPr>
              <w:t>160,1</w:t>
            </w:r>
          </w:p>
        </w:tc>
        <w:tc>
          <w:tcPr>
            <w:tcW w:w="753" w:type="dxa"/>
            <w:tcBorders>
              <w:top w:val="nil"/>
              <w:left w:val="nil"/>
              <w:bottom w:val="single" w:sz="4" w:space="0" w:color="auto"/>
              <w:right w:val="single" w:sz="4" w:space="0" w:color="auto"/>
            </w:tcBorders>
            <w:shd w:val="clear" w:color="auto" w:fill="auto"/>
            <w:noWrap/>
            <w:vAlign w:val="bottom"/>
          </w:tcPr>
          <w:p w14:paraId="720FB04B" w14:textId="59EAC8D1" w:rsidR="007A0A81" w:rsidRPr="00DB479B" w:rsidRDefault="2248451C" w:rsidP="2248451C">
            <w:pPr>
              <w:spacing w:after="0" w:line="259" w:lineRule="auto"/>
              <w:jc w:val="right"/>
              <w:rPr>
                <w:sz w:val="20"/>
              </w:rPr>
            </w:pPr>
            <w:r w:rsidRPr="2248451C">
              <w:rPr>
                <w:sz w:val="20"/>
              </w:rPr>
              <w:t>-3,5</w:t>
            </w:r>
          </w:p>
        </w:tc>
        <w:tc>
          <w:tcPr>
            <w:tcW w:w="665" w:type="dxa"/>
            <w:tcBorders>
              <w:top w:val="nil"/>
              <w:left w:val="nil"/>
              <w:bottom w:val="single" w:sz="4" w:space="0" w:color="auto"/>
              <w:right w:val="single" w:sz="4" w:space="0" w:color="auto"/>
            </w:tcBorders>
            <w:shd w:val="clear" w:color="auto" w:fill="auto"/>
            <w:noWrap/>
            <w:vAlign w:val="bottom"/>
          </w:tcPr>
          <w:p w14:paraId="5EEB1EB0" w14:textId="0281709C" w:rsidR="007A0A81" w:rsidRPr="00DB479B" w:rsidRDefault="2248451C" w:rsidP="2248451C">
            <w:pPr>
              <w:spacing w:after="0" w:line="259" w:lineRule="auto"/>
              <w:jc w:val="right"/>
              <w:rPr>
                <w:sz w:val="20"/>
              </w:rPr>
            </w:pPr>
            <w:r w:rsidRPr="2248451C">
              <w:rPr>
                <w:sz w:val="20"/>
              </w:rPr>
              <w:t>97,9</w:t>
            </w:r>
          </w:p>
        </w:tc>
      </w:tr>
      <w:tr w:rsidR="007A0A81" w:rsidRPr="00DB479B" w14:paraId="1B1C820A" w14:textId="77777777" w:rsidTr="2248451C">
        <w:trPr>
          <w:trHeight w:val="306"/>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8AC6673" w14:textId="77777777" w:rsidR="007A0A81" w:rsidRPr="00DB479B" w:rsidRDefault="2248451C" w:rsidP="2248451C">
            <w:pPr>
              <w:spacing w:after="0"/>
              <w:ind w:firstLineChars="284" w:firstLine="568"/>
              <w:jc w:val="left"/>
              <w:rPr>
                <w:i/>
                <w:iCs/>
                <w:sz w:val="20"/>
              </w:rPr>
            </w:pPr>
            <w:r w:rsidRPr="2248451C">
              <w:rPr>
                <w:i/>
                <w:iCs/>
                <w:sz w:val="20"/>
              </w:rPr>
              <w:t>Gyermekgondozási díj</w:t>
            </w:r>
          </w:p>
        </w:tc>
        <w:tc>
          <w:tcPr>
            <w:tcW w:w="993" w:type="dxa"/>
            <w:tcBorders>
              <w:top w:val="nil"/>
              <w:left w:val="nil"/>
              <w:bottom w:val="single" w:sz="4" w:space="0" w:color="auto"/>
              <w:right w:val="single" w:sz="4" w:space="0" w:color="auto"/>
            </w:tcBorders>
            <w:shd w:val="clear" w:color="auto" w:fill="auto"/>
            <w:noWrap/>
            <w:vAlign w:val="bottom"/>
          </w:tcPr>
          <w:p w14:paraId="18E312D6" w14:textId="1ED162E1" w:rsidR="007A0A81" w:rsidRPr="00DB479B" w:rsidRDefault="2248451C" w:rsidP="2248451C">
            <w:pPr>
              <w:spacing w:after="0"/>
              <w:jc w:val="right"/>
              <w:rPr>
                <w:sz w:val="20"/>
              </w:rPr>
            </w:pPr>
            <w:r w:rsidRPr="2248451C">
              <w:rPr>
                <w:sz w:val="20"/>
              </w:rPr>
              <w:t>113,5</w:t>
            </w:r>
          </w:p>
        </w:tc>
        <w:tc>
          <w:tcPr>
            <w:tcW w:w="992" w:type="dxa"/>
            <w:tcBorders>
              <w:top w:val="nil"/>
              <w:left w:val="nil"/>
              <w:bottom w:val="single" w:sz="4" w:space="0" w:color="auto"/>
              <w:right w:val="single" w:sz="4" w:space="0" w:color="auto"/>
            </w:tcBorders>
            <w:shd w:val="clear" w:color="auto" w:fill="auto"/>
            <w:noWrap/>
            <w:vAlign w:val="bottom"/>
          </w:tcPr>
          <w:p w14:paraId="5A56530A" w14:textId="7EFBBC04" w:rsidR="007A0A81" w:rsidRPr="00DB479B" w:rsidRDefault="2248451C" w:rsidP="2248451C">
            <w:pPr>
              <w:spacing w:after="0" w:line="259" w:lineRule="auto"/>
              <w:jc w:val="right"/>
              <w:rPr>
                <w:sz w:val="20"/>
              </w:rPr>
            </w:pPr>
            <w:r w:rsidRPr="2248451C">
              <w:rPr>
                <w:sz w:val="20"/>
              </w:rPr>
              <w:t>132,1</w:t>
            </w:r>
          </w:p>
        </w:tc>
        <w:tc>
          <w:tcPr>
            <w:tcW w:w="753" w:type="dxa"/>
            <w:tcBorders>
              <w:top w:val="nil"/>
              <w:left w:val="nil"/>
              <w:bottom w:val="single" w:sz="4" w:space="0" w:color="auto"/>
              <w:right w:val="single" w:sz="4" w:space="0" w:color="auto"/>
            </w:tcBorders>
            <w:shd w:val="clear" w:color="auto" w:fill="auto"/>
            <w:noWrap/>
            <w:vAlign w:val="bottom"/>
          </w:tcPr>
          <w:p w14:paraId="3CBC826C" w14:textId="36B47A28" w:rsidR="007A0A81" w:rsidRPr="00DB479B" w:rsidRDefault="2248451C" w:rsidP="2248451C">
            <w:pPr>
              <w:spacing w:after="0" w:line="259" w:lineRule="auto"/>
              <w:jc w:val="right"/>
              <w:rPr>
                <w:sz w:val="20"/>
              </w:rPr>
            </w:pPr>
            <w:r w:rsidRPr="2248451C">
              <w:rPr>
                <w:sz w:val="20"/>
              </w:rPr>
              <w:t>18,6</w:t>
            </w:r>
          </w:p>
        </w:tc>
        <w:tc>
          <w:tcPr>
            <w:tcW w:w="665" w:type="dxa"/>
            <w:tcBorders>
              <w:top w:val="nil"/>
              <w:left w:val="nil"/>
              <w:bottom w:val="single" w:sz="4" w:space="0" w:color="auto"/>
              <w:right w:val="single" w:sz="4" w:space="0" w:color="auto"/>
            </w:tcBorders>
            <w:shd w:val="clear" w:color="auto" w:fill="auto"/>
            <w:noWrap/>
            <w:vAlign w:val="bottom"/>
          </w:tcPr>
          <w:p w14:paraId="26E43045" w14:textId="42C05913" w:rsidR="007A0A81" w:rsidRPr="00DB479B" w:rsidRDefault="2248451C" w:rsidP="2248451C">
            <w:pPr>
              <w:spacing w:after="0" w:line="259" w:lineRule="auto"/>
              <w:jc w:val="right"/>
              <w:rPr>
                <w:sz w:val="20"/>
              </w:rPr>
            </w:pPr>
            <w:r w:rsidRPr="2248451C">
              <w:rPr>
                <w:sz w:val="20"/>
              </w:rPr>
              <w:t>116,4</w:t>
            </w:r>
          </w:p>
        </w:tc>
      </w:tr>
      <w:tr w:rsidR="007A0A81" w:rsidRPr="00DB479B" w14:paraId="7780DF35" w14:textId="77777777" w:rsidTr="2248451C">
        <w:trPr>
          <w:trHeight w:val="306"/>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56B3D" w14:textId="77777777" w:rsidR="007A0A81" w:rsidRPr="00DB479B" w:rsidRDefault="2248451C" w:rsidP="2248451C">
            <w:pPr>
              <w:spacing w:after="0"/>
              <w:ind w:firstLineChars="284" w:firstLine="568"/>
              <w:jc w:val="left"/>
              <w:rPr>
                <w:i/>
                <w:iCs/>
                <w:sz w:val="20"/>
              </w:rPr>
            </w:pPr>
            <w:r w:rsidRPr="2248451C">
              <w:rPr>
                <w:i/>
                <w:iCs/>
                <w:sz w:val="20"/>
              </w:rPr>
              <w:t>Táppénz</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5DDFC013" w14:textId="65CB30D8" w:rsidR="007A0A81" w:rsidRPr="00DB479B" w:rsidRDefault="2248451C" w:rsidP="2248451C">
            <w:pPr>
              <w:spacing w:after="0"/>
              <w:jc w:val="right"/>
              <w:rPr>
                <w:sz w:val="20"/>
              </w:rPr>
            </w:pPr>
            <w:r w:rsidRPr="2248451C">
              <w:rPr>
                <w:sz w:val="20"/>
              </w:rPr>
              <w:t>74,0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BD88C97" w14:textId="7FE983B6" w:rsidR="007A0A81" w:rsidRPr="00DB479B" w:rsidRDefault="2248451C" w:rsidP="2248451C">
            <w:pPr>
              <w:spacing w:after="0" w:line="259" w:lineRule="auto"/>
              <w:jc w:val="right"/>
              <w:rPr>
                <w:sz w:val="20"/>
              </w:rPr>
            </w:pPr>
            <w:r w:rsidRPr="2248451C">
              <w:rPr>
                <w:sz w:val="20"/>
              </w:rPr>
              <w:t>87,9</w:t>
            </w:r>
          </w:p>
        </w:tc>
        <w:tc>
          <w:tcPr>
            <w:tcW w:w="753" w:type="dxa"/>
            <w:tcBorders>
              <w:top w:val="single" w:sz="4" w:space="0" w:color="auto"/>
              <w:left w:val="nil"/>
              <w:bottom w:val="single" w:sz="4" w:space="0" w:color="auto"/>
              <w:right w:val="single" w:sz="4" w:space="0" w:color="auto"/>
            </w:tcBorders>
            <w:shd w:val="clear" w:color="auto" w:fill="auto"/>
            <w:noWrap/>
            <w:vAlign w:val="bottom"/>
          </w:tcPr>
          <w:p w14:paraId="6D966813" w14:textId="2E86A3D0" w:rsidR="007A0A81" w:rsidRPr="00DB479B" w:rsidRDefault="2248451C" w:rsidP="2248451C">
            <w:pPr>
              <w:spacing w:after="0" w:line="259" w:lineRule="auto"/>
              <w:jc w:val="right"/>
              <w:rPr>
                <w:sz w:val="20"/>
              </w:rPr>
            </w:pPr>
            <w:r w:rsidRPr="2248451C">
              <w:rPr>
                <w:sz w:val="20"/>
              </w:rPr>
              <w:t>13,9</w:t>
            </w:r>
          </w:p>
        </w:tc>
        <w:tc>
          <w:tcPr>
            <w:tcW w:w="665" w:type="dxa"/>
            <w:tcBorders>
              <w:top w:val="single" w:sz="4" w:space="0" w:color="auto"/>
              <w:left w:val="nil"/>
              <w:bottom w:val="single" w:sz="4" w:space="0" w:color="auto"/>
              <w:right w:val="single" w:sz="4" w:space="0" w:color="auto"/>
            </w:tcBorders>
            <w:shd w:val="clear" w:color="auto" w:fill="auto"/>
            <w:noWrap/>
            <w:vAlign w:val="bottom"/>
          </w:tcPr>
          <w:p w14:paraId="3E239E68" w14:textId="179D99BD" w:rsidR="007A0A81" w:rsidRPr="00DB479B" w:rsidRDefault="2248451C" w:rsidP="2248451C">
            <w:pPr>
              <w:spacing w:after="0" w:line="259" w:lineRule="auto"/>
              <w:jc w:val="right"/>
              <w:rPr>
                <w:sz w:val="20"/>
              </w:rPr>
            </w:pPr>
            <w:r w:rsidRPr="2248451C">
              <w:rPr>
                <w:sz w:val="20"/>
              </w:rPr>
              <w:t>118,8</w:t>
            </w:r>
          </w:p>
        </w:tc>
      </w:tr>
    </w:tbl>
    <w:p w14:paraId="25FFF5E2" w14:textId="35E2EBD6" w:rsidR="007A0A81" w:rsidRDefault="1CC825AF" w:rsidP="1CC825AF">
      <w:r>
        <w:t xml:space="preserve"> </w:t>
      </w:r>
      <w:r w:rsidR="009F0C4E">
        <w:br w:type="page"/>
      </w:r>
    </w:p>
    <w:p w14:paraId="5D4F03CB" w14:textId="47048549" w:rsidR="003E5ED6" w:rsidRDefault="2248451C" w:rsidP="2248451C">
      <w:pPr>
        <w:pStyle w:val="Cmsor3"/>
        <w:numPr>
          <w:ilvl w:val="0"/>
          <w:numId w:val="8"/>
        </w:numPr>
        <w:spacing w:before="0" w:after="120"/>
        <w:jc w:val="left"/>
        <w:rPr>
          <w:sz w:val="26"/>
          <w:szCs w:val="26"/>
        </w:rPr>
      </w:pPr>
      <w:r w:rsidRPr="2248451C">
        <w:rPr>
          <w:sz w:val="26"/>
          <w:szCs w:val="26"/>
        </w:rPr>
        <w:lastRenderedPageBreak/>
        <w:t xml:space="preserve">A költségvetési szervek és szakmai fejezeti kezelésű előirányzatok alakulása </w:t>
      </w:r>
    </w:p>
    <w:p w14:paraId="2972818C" w14:textId="77777777" w:rsidR="00953258" w:rsidRPr="00953258" w:rsidRDefault="00953258" w:rsidP="00953258"/>
    <w:p w14:paraId="239D2111" w14:textId="6D1142F0" w:rsidR="00B051EF" w:rsidRPr="000B7D41" w:rsidRDefault="6D01B43F" w:rsidP="2248451C">
      <w:pPr>
        <w:rPr>
          <w:rFonts w:cs="Tahoma"/>
        </w:rPr>
      </w:pPr>
      <w:r w:rsidRPr="6D01B43F">
        <w:rPr>
          <w:rFonts w:cs="Tahoma"/>
        </w:rPr>
        <w:t xml:space="preserve">A </w:t>
      </w:r>
      <w:r w:rsidRPr="6D01B43F">
        <w:rPr>
          <w:rFonts w:cs="Tahoma"/>
          <w:b/>
          <w:bCs/>
        </w:rPr>
        <w:t xml:space="preserve">„Költségvetési szervek bevételei” </w:t>
      </w:r>
      <w:r w:rsidRPr="6D01B43F">
        <w:rPr>
          <w:rFonts w:cs="Tahoma"/>
        </w:rPr>
        <w:t xml:space="preserve">mérlegsoron 2020 első </w:t>
      </w:r>
      <w:r w:rsidR="00442F91" w:rsidRPr="00442F91">
        <w:rPr>
          <w:rFonts w:cs="Tahoma"/>
        </w:rPr>
        <w:t>hét</w:t>
      </w:r>
      <w:r w:rsidRPr="6D01B43F">
        <w:rPr>
          <w:rFonts w:cs="Tahoma"/>
        </w:rPr>
        <w:t xml:space="preserve"> hónapjában </w:t>
      </w:r>
      <w:r w:rsidR="00442F91" w:rsidRPr="00442F91">
        <w:rPr>
          <w:rFonts w:cs="Tahoma"/>
        </w:rPr>
        <w:t>1232,8</w:t>
      </w:r>
      <w:r w:rsidRPr="6D01B43F">
        <w:rPr>
          <w:rFonts w:cs="Tahoma"/>
        </w:rPr>
        <w:t xml:space="preserve"> milliárd forint bevétel keletkezett, mely </w:t>
      </w:r>
      <w:r w:rsidR="00442F91" w:rsidRPr="00442F91">
        <w:rPr>
          <w:rFonts w:cs="Tahoma"/>
        </w:rPr>
        <w:t>13,7</w:t>
      </w:r>
      <w:r w:rsidRPr="6D01B43F">
        <w:rPr>
          <w:rFonts w:cs="Tahoma"/>
        </w:rPr>
        <w:t xml:space="preserve">%-kal magasabb az előző év azonos hónapjaihoz képest. Az intézmények </w:t>
      </w:r>
      <w:r w:rsidR="00442F91" w:rsidRPr="00442F91">
        <w:rPr>
          <w:rFonts w:cs="Tahoma"/>
        </w:rPr>
        <w:t>bevételei közül a következő jelentősebb</w:t>
      </w:r>
      <w:r w:rsidRPr="6D01B43F">
        <w:rPr>
          <w:rFonts w:cs="Tahoma"/>
        </w:rPr>
        <w:t xml:space="preserve"> tételek emelhetők ki: </w:t>
      </w:r>
      <w:r w:rsidR="00442F91" w:rsidRPr="00442F91">
        <w:rPr>
          <w:rFonts w:cs="Tahoma"/>
        </w:rPr>
        <w:t>700,1</w:t>
      </w:r>
      <w:r w:rsidRPr="6D01B43F">
        <w:rPr>
          <w:rFonts w:cs="Tahoma"/>
        </w:rPr>
        <w:t xml:space="preserve"> milliárd forint a Nemzeti Egészségbiztosítási Alapkezelő által az egészségügyi intézményeknek utalt támogatás, mely tartalmazza az egészségügyi dolgozók egyszeri rendkívüli juttatására, valamint az egészségügyi intézmények adósságrendezésére biztosított összegeket, és melyek szerepet játszottak a két év azonos időszakának bevételei közötti eltérésben. Ezen kívül </w:t>
      </w:r>
      <w:r w:rsidR="00442F91" w:rsidRPr="00442F91">
        <w:rPr>
          <w:rFonts w:cs="Tahoma"/>
        </w:rPr>
        <w:t>91,6</w:t>
      </w:r>
      <w:r w:rsidRPr="6D01B43F">
        <w:rPr>
          <w:rFonts w:cs="Tahoma"/>
        </w:rPr>
        <w:t> milliárd forint a 2014</w:t>
      </w:r>
      <w:r w:rsidR="00442F91" w:rsidRPr="00442F91">
        <w:rPr>
          <w:rFonts w:cs="Tahoma"/>
        </w:rPr>
        <w:noBreakHyphen/>
      </w:r>
      <w:r w:rsidRPr="6D01B43F">
        <w:rPr>
          <w:rFonts w:cs="Tahoma"/>
        </w:rPr>
        <w:t>2020</w:t>
      </w:r>
      <w:r w:rsidR="00442F91" w:rsidRPr="00442F91">
        <w:rPr>
          <w:rFonts w:cs="Tahoma"/>
        </w:rPr>
        <w:t> </w:t>
      </w:r>
      <w:r w:rsidRPr="6D01B43F">
        <w:rPr>
          <w:rFonts w:cs="Tahoma"/>
        </w:rPr>
        <w:t xml:space="preserve">közötti kohéziós politikai operatív programok előirányzat-felhasználási számlájáról közvetlenül érkezett bevétel, több intézmény részére, különböző projektek támogatási előlegeként, </w:t>
      </w:r>
      <w:r w:rsidR="00442F91" w:rsidRPr="00442F91">
        <w:rPr>
          <w:rFonts w:cs="Tahoma"/>
        </w:rPr>
        <w:t>22,2 milliárd forint a jóváírás az Országos Rendőr-főkapitányságnál, döntő részben a „Tömeges bevándorlás kezeléséhez kapcsolódó kiadások” törvényi sorról,</w:t>
      </w:r>
      <w:r w:rsidRPr="6D01B43F">
        <w:rPr>
          <w:rFonts w:cs="Tahoma"/>
        </w:rPr>
        <w:t xml:space="preserve"> 10,3 milliárd forint a Megyei Szakképzési Centrumokhoz érkező bevétel, a szakképzési rendszerek átalakításával, továbbá a felnőttoktatási tevékenység finanszírozásával kapcsolatos törvényi sorokról.</w:t>
      </w:r>
    </w:p>
    <w:p w14:paraId="292F9074" w14:textId="77777777" w:rsidR="00F54C04" w:rsidRPr="00F54C04" w:rsidRDefault="2248451C" w:rsidP="2248451C">
      <w:pPr>
        <w:widowControl w:val="0"/>
        <w:rPr>
          <w:rFonts w:cs="Tahoma"/>
        </w:rPr>
      </w:pPr>
      <w:r>
        <w:t>A „</w:t>
      </w:r>
      <w:r w:rsidRPr="2248451C">
        <w:rPr>
          <w:b/>
          <w:bCs/>
        </w:rPr>
        <w:t xml:space="preserve">Szakmai fejezeti kezelésű előirányzatok saját </w:t>
      </w:r>
      <w:r w:rsidRPr="2248451C">
        <w:rPr>
          <w:rFonts w:cs="Tahoma"/>
          <w:b/>
          <w:bCs/>
        </w:rPr>
        <w:t>bevételei”</w:t>
      </w:r>
      <w:r w:rsidRPr="2248451C">
        <w:rPr>
          <w:rFonts w:cs="Tahoma"/>
        </w:rPr>
        <w:t xml:space="preserve"> </w:t>
      </w:r>
      <w:r>
        <w:t>mérlegsor bevételei</w:t>
      </w:r>
      <w:r w:rsidRPr="2248451C">
        <w:rPr>
          <w:rFonts w:cs="Tahoma"/>
        </w:rPr>
        <w:t xml:space="preserve"> 2020 első hét hónapjában 321,4 milliárd forintot tettek ki, mely 199,2 milliárd forinttal magasabb az előző év azonos hónapjaihoz képest. A bevételek közel felét az „Alapok alapja GINOP pénzügyi eszközök” törvényi sorra befolyt bevételek teszik ki (153,4 milliárd forint), mely nem uniós bevételként jóváírt tétel, az ilyen jellegű bevétel 2019 első hét hónapjában nem volt jelentős összegű. Ezen kívül 27,5 milliárd forintot tesznek ki az uniós fejlesztések operatív programjai előirányzat felhasználási keretszámlájára – például túlfizetésből, elállásból, el nem számolt bevételekből eredően – visszautalt összegek. </w:t>
      </w:r>
    </w:p>
    <w:p w14:paraId="1159639C" w14:textId="334C822A" w:rsidR="6D01B43F" w:rsidRDefault="2248451C" w:rsidP="6D01B43F">
      <w:r>
        <w:t xml:space="preserve">A nem a XLII. A költségvetés közvetlen bevételei és kiadásai fejezetbe érkező uniós bevételek kimutatására az </w:t>
      </w:r>
      <w:r w:rsidRPr="2248451C">
        <w:rPr>
          <w:b/>
          <w:bCs/>
        </w:rPr>
        <w:t>„Uniós fejezeti kezelésű előirányzatok bevétele”</w:t>
      </w:r>
      <w:r>
        <w:t xml:space="preserve"> mérlegsor szolgál, melyen júliussal bezárólag 1,3</w:t>
      </w:r>
      <w:r w:rsidR="005F20A3">
        <w:t> </w:t>
      </w:r>
      <w:r>
        <w:t>milliárd forint bevétel keletkezett. Ez az éves előirányzat 8,9%-ának felel meg.</w:t>
      </w:r>
    </w:p>
    <w:p w14:paraId="7341921A" w14:textId="32BBA743" w:rsidR="00B654A9" w:rsidRDefault="2248451C" w:rsidP="00B654A9">
      <w:r w:rsidRPr="2248451C">
        <w:rPr>
          <w:b/>
          <w:bCs/>
        </w:rPr>
        <w:t>A 2020. július végi, közel 1556 milliárd forint összegű bevételek</w:t>
      </w:r>
      <w:r>
        <w:t xml:space="preserve"> megoszlását a következő grafikon szemlélteti:</w:t>
      </w:r>
    </w:p>
    <w:p w14:paraId="33F9C64B" w14:textId="6C1F88D4" w:rsidR="00CF1658" w:rsidRDefault="00FD7932" w:rsidP="00B654A9">
      <w:r>
        <w:rPr>
          <w:noProof/>
        </w:rPr>
        <w:lastRenderedPageBreak/>
        <w:drawing>
          <wp:inline distT="0" distB="0" distL="0" distR="0" wp14:anchorId="10D12B33" wp14:editId="21B26839">
            <wp:extent cx="5940425" cy="3035300"/>
            <wp:effectExtent l="0" t="0" r="3175"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ervek_fejkezek_bevételei.png"/>
                    <pic:cNvPicPr/>
                  </pic:nvPicPr>
                  <pic:blipFill>
                    <a:blip r:embed="rId23">
                      <a:extLst>
                        <a:ext uri="{28A0092B-C50C-407E-A947-70E740481C1C}">
                          <a14:useLocalDpi xmlns:a14="http://schemas.microsoft.com/office/drawing/2010/main" val="0"/>
                        </a:ext>
                      </a:extLst>
                    </a:blip>
                    <a:stretch>
                      <a:fillRect/>
                    </a:stretch>
                  </pic:blipFill>
                  <pic:spPr>
                    <a:xfrm>
                      <a:off x="0" y="0"/>
                      <a:ext cx="5940425" cy="3035300"/>
                    </a:xfrm>
                    <a:prstGeom prst="rect">
                      <a:avLst/>
                    </a:prstGeom>
                  </pic:spPr>
                </pic:pic>
              </a:graphicData>
            </a:graphic>
          </wp:inline>
        </w:drawing>
      </w:r>
    </w:p>
    <w:p w14:paraId="54550A74" w14:textId="77777777" w:rsidR="00FD7932" w:rsidRDefault="00FD7932" w:rsidP="00B654A9"/>
    <w:p w14:paraId="701835A5" w14:textId="03D37E19" w:rsidR="00140A48" w:rsidRPr="00140A48" w:rsidRDefault="2248451C" w:rsidP="2248451C">
      <w:pPr>
        <w:widowControl w:val="0"/>
        <w:rPr>
          <w:rFonts w:cs="Tahoma"/>
        </w:rPr>
      </w:pPr>
      <w:r w:rsidRPr="2248451C">
        <w:rPr>
          <w:b/>
          <w:bCs/>
        </w:rPr>
        <w:t xml:space="preserve">A „Költségvetési szervek kiadásai” </w:t>
      </w:r>
      <w:r w:rsidRPr="2248451C">
        <w:rPr>
          <w:rFonts w:cs="Tahoma"/>
        </w:rPr>
        <w:t xml:space="preserve">mérlegsoron 2020 első hét hónapjában 4153,4 milliárd forint kiadás keletkezett, mely 20,2%-kal magasabb az előző év azonos hónapjaihoz képest. Az intézmények teljesítéséből 2064,5 milliárd forintot tett ki a személyi juttatásokra és munkaadókat terhelő járulékokra kifizetett összeg, mely 149,2 milliárd forinttal több, mint az előző évi első héthavi kiadás. Ez tartalmazza az egészségügyi dolgozók részére </w:t>
      </w:r>
      <w:r w:rsidR="00473043">
        <w:rPr>
          <w:rFonts w:cs="Tahoma"/>
        </w:rPr>
        <w:t xml:space="preserve">az </w:t>
      </w:r>
      <w:r w:rsidRPr="2248451C">
        <w:rPr>
          <w:rFonts w:cs="Tahoma"/>
        </w:rPr>
        <w:t>egyszeri</w:t>
      </w:r>
      <w:r w:rsidR="00473043">
        <w:rPr>
          <w:rFonts w:cs="Tahoma"/>
        </w:rPr>
        <w:t>,</w:t>
      </w:r>
      <w:r w:rsidRPr="2248451C">
        <w:rPr>
          <w:rFonts w:cs="Tahoma"/>
        </w:rPr>
        <w:t xml:space="preserve"> 500 ezer forint/fő rendkívüli juttatás kifizetését</w:t>
      </w:r>
      <w:r w:rsidR="00473043">
        <w:rPr>
          <w:rFonts w:cs="Tahoma"/>
        </w:rPr>
        <w:t>.</w:t>
      </w:r>
      <w:r w:rsidRPr="2248451C">
        <w:rPr>
          <w:rFonts w:cs="Tahoma"/>
        </w:rPr>
        <w:t xml:space="preserve"> Ezenkívül az alábbi nagyobb összegű kifizetések történtek: 451,8 milliárd forint a „Külképviseletek igazgatásánál”, melyből a koronavírus-járványhoz kapcsolódó egészségügyi eszközbeszerzések 427,7 milliárd forintot tettek ki, 154,5 milliárd forint a Honvédelmi Minisztérium Védelemgazdasági Hivatal Anyagellátó Raktárbázis Központnál, főként harckocsik beszerzésére és helikopter-beszerzésre, 107,8 milliárd forint az Állami Egészségügyi Ellátó Központ kiadása, ebből 80,8 milliárd forint a koronavírus-járványhoz kapcsolódó egészségügyi eszközbeszerzésekre, betegellátásra kifizetett összeg, 58,2 milliárd forint a Honvédelmi Minisztérium Védelemgazdasági Hivatala központi költségvetéséből a Gripen repülőgépek bérleti díjára, illetve szolgáltatások kifizetésére, valamint 28,8 milliárd forint a Nemzeti Adó- és Vámhivatal befizetése a Központi Maradványelszámolási Alapba. A két év első hét hónapjának kiadásai közötti eltérést okozó számos tényező közül kiemelhetők elsősorban a személyi juttatásokra és munkaadókat terhelő járulékokra fordított összeg, valamint a „Külképviseletek igazgatásánál”, valamint az Állami Egészségügyi Ellátó Központnál a koronavírus-járványhoz kapcsolódó egészségügyi eszközök beszerzése érdekében kifizetett összegek.</w:t>
      </w:r>
    </w:p>
    <w:p w14:paraId="7FC0A64D" w14:textId="45FF36D5" w:rsidR="00EE7960" w:rsidRPr="00B46030" w:rsidRDefault="2248451C" w:rsidP="2248451C">
      <w:pPr>
        <w:rPr>
          <w:rFonts w:cs="Tahoma"/>
        </w:rPr>
      </w:pPr>
      <w:r w:rsidRPr="2248451C">
        <w:rPr>
          <w:b/>
          <w:bCs/>
        </w:rPr>
        <w:t xml:space="preserve">Az „Egyéb szakmai fejezeti kezelésű előirányzatok kiadásai” </w:t>
      </w:r>
      <w:r>
        <w:t>mérlegsor kiadásai</w:t>
      </w:r>
      <w:r w:rsidRPr="2248451C">
        <w:rPr>
          <w:rFonts w:cs="Tahoma"/>
        </w:rPr>
        <w:t xml:space="preserve"> 2020 első hét hónapjában 2164,4 milliárd forintot tettek ki, mely 31,1%-kal magasabban teljesült az előző év azonos hónapjaihoz képest. Ezen időszak teljesítéséből az alábbi tételek emelhetők ki: 237,4 milliárd forint normatív finanszírozásra (köznevelési célú humánszolgáltatás és működési támogatás, hit- és erkölcstanoktatás és tankönyvtámogatás, köznevelési szerződések, szociális célú humánszolgáltatások, nem állami felsőoktatási intézmények támogatása), 140,0 milliárd forint a kiemelt közúti </w:t>
      </w:r>
      <w:r w:rsidRPr="2248451C">
        <w:rPr>
          <w:rFonts w:cs="Tahoma"/>
        </w:rPr>
        <w:lastRenderedPageBreak/>
        <w:t>projektekre, 123,1 milliárd forint „A koronavírus-járvány következtében szükségessé vált versenyképesség-növelő támogatás” sorról történő kifizetés, 81,0 milliárd forint kifizetés a Turisztikai fejlesztési célelőirányzatból, 78,6 milliárd forint a Budapest-Belgrád vasútvonal magyarországi szakaszának felújítására, 76,7 milliárd forint az autópálya rendelkezésre állási díj, 68,4 milliárd forint a közúthálózat fenntartására és működtetésére, 57,0 milliárd forint a „Falusi Útalap” programjaira, 44,0 milliárd forint maradvány befizetése az „Állami többletfeladatok” törvényi sorról a Központi Maradványelszámolási Alapba, 38,6 milliárd forint kifizetése a Beruházás ösztönzési célelőirányzatból, 37,4 milliárd forint a közúthálózat felújítására, 37,3 milliárd forint a nemzeti agrártámogatásokra, 29,1 milliárd forint a Modern Városok Program keretében megvalósuló fejlesztésekre, 28,9 milliárd forint a tömeges bevándorlás kezeléséhez kapcsolódó kiadásokra, valamint 27,0 milliárd forint a nagycsaládosok személygépkocsi-szerzési támogatására. A két év első hét hónapjának kiadásai közötti eltérést okozó számos tényező közül kiemelhetők többek között a koronavírus-járvány következtében szükségessé vált versenyképesség-növelő támogatásra, a Budapest-Belgrád vasútvonal magyarországi szakaszának felújítására, a „Turisztikai fejlesztési célelőirányzat” kiadásaira, a Falusi Útalap programjaira, valamint a nagycsaládosok személygépkocsi-szerzési támogatására kifizetett összegek.</w:t>
      </w:r>
    </w:p>
    <w:p w14:paraId="58DEF09C" w14:textId="3F435FF7" w:rsidR="6D01B43F" w:rsidRDefault="2248451C" w:rsidP="6D01B43F">
      <w:r w:rsidRPr="2248451C">
        <w:rPr>
          <w:color w:val="000000" w:themeColor="text1"/>
        </w:rPr>
        <w:t>Az „</w:t>
      </w:r>
      <w:r w:rsidRPr="2248451C">
        <w:rPr>
          <w:b/>
          <w:bCs/>
          <w:color w:val="000000" w:themeColor="text1"/>
        </w:rPr>
        <w:t>Uniós programok kiadásai”</w:t>
      </w:r>
      <w:r w:rsidRPr="2248451C">
        <w:rPr>
          <w:i/>
          <w:iCs/>
          <w:color w:val="000000" w:themeColor="text1"/>
        </w:rPr>
        <w:t xml:space="preserve"> </w:t>
      </w:r>
      <w:r w:rsidRPr="2248451C">
        <w:rPr>
          <w:color w:val="000000" w:themeColor="text1"/>
        </w:rPr>
        <w:t xml:space="preserve">mérlegsoron 2020 első hét hónapjában </w:t>
      </w:r>
      <w:r>
        <w:t>1274,9</w:t>
      </w:r>
      <w:r w:rsidR="0092269B">
        <w:t> </w:t>
      </w:r>
      <w:r>
        <w:t xml:space="preserve">milliárd </w:t>
      </w:r>
      <w:r w:rsidRPr="2248451C">
        <w:rPr>
          <w:color w:val="000000" w:themeColor="text1"/>
        </w:rPr>
        <w:t xml:space="preserve">forint összegű kifizetés történt, amely </w:t>
      </w:r>
      <w:r>
        <w:t>az éves előirányzat 75,8%</w:t>
      </w:r>
      <w:r w:rsidR="00AD6A37">
        <w:t>-</w:t>
      </w:r>
      <w:r>
        <w:t>os teljesítését jelenti</w:t>
      </w:r>
      <w:r w:rsidRPr="2248451C">
        <w:rPr>
          <w:color w:val="000000" w:themeColor="text1"/>
        </w:rPr>
        <w:t>. A felmerült kiadások túlnyomó részét</w:t>
      </w:r>
      <w:r>
        <w:t xml:space="preserve"> a 2014-2020-as programozási időszak kohéziós operatív programjai adták, összesen 1014,8</w:t>
      </w:r>
      <w:r w:rsidR="00704DD5">
        <w:t> </w:t>
      </w:r>
      <w:r>
        <w:t xml:space="preserve">milliárd forint értékben. </w:t>
      </w:r>
      <w:r w:rsidR="0003036C">
        <w:t>Ebből j</w:t>
      </w:r>
      <w:r>
        <w:t>úlius végéig a legjobban teljesítő operatív programok: a Gazdaságfejlesztés és Innovációs Operatív Program 367,5</w:t>
      </w:r>
      <w:r w:rsidR="00704DD5">
        <w:t> </w:t>
      </w:r>
      <w:r>
        <w:t>milliárd forint, valamint az Integrált Közlekedésfejlesztési Operatív Program 243,3</w:t>
      </w:r>
      <w:r w:rsidR="00704DD5">
        <w:t> </w:t>
      </w:r>
      <w:r>
        <w:t xml:space="preserve">milliárd forint kifizetéssel. </w:t>
      </w:r>
    </w:p>
    <w:p w14:paraId="32840DF9" w14:textId="25D09F26" w:rsidR="009806EA" w:rsidRDefault="2248451C" w:rsidP="0012048C">
      <w:r>
        <w:t xml:space="preserve">A </w:t>
      </w:r>
      <w:r w:rsidRPr="2248451C">
        <w:rPr>
          <w:b/>
          <w:bCs/>
        </w:rPr>
        <w:t>2020. július végi, közel 7593 milliárd forint összegű kiadások</w:t>
      </w:r>
      <w:r>
        <w:t xml:space="preserve"> megoszlását a következő grafikon szemlélteti:</w:t>
      </w:r>
    </w:p>
    <w:p w14:paraId="22541830" w14:textId="56D290BF" w:rsidR="00656E6A" w:rsidRDefault="00656E6A" w:rsidP="0012048C">
      <w:r>
        <w:rPr>
          <w:noProof/>
        </w:rPr>
        <w:drawing>
          <wp:inline distT="0" distB="0" distL="0" distR="0" wp14:anchorId="6707E459" wp14:editId="2B40E323">
            <wp:extent cx="5940425" cy="2966085"/>
            <wp:effectExtent l="0" t="0" r="3175" b="571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ervek_fejkezek_kiadásai.png"/>
                    <pic:cNvPicPr/>
                  </pic:nvPicPr>
                  <pic:blipFill>
                    <a:blip r:embed="rId24">
                      <a:extLst>
                        <a:ext uri="{28A0092B-C50C-407E-A947-70E740481C1C}">
                          <a14:useLocalDpi xmlns:a14="http://schemas.microsoft.com/office/drawing/2010/main" val="0"/>
                        </a:ext>
                      </a:extLst>
                    </a:blip>
                    <a:stretch>
                      <a:fillRect/>
                    </a:stretch>
                  </pic:blipFill>
                  <pic:spPr>
                    <a:xfrm>
                      <a:off x="0" y="0"/>
                      <a:ext cx="5940425" cy="2966085"/>
                    </a:xfrm>
                    <a:prstGeom prst="rect">
                      <a:avLst/>
                    </a:prstGeom>
                  </pic:spPr>
                </pic:pic>
              </a:graphicData>
            </a:graphic>
          </wp:inline>
        </w:drawing>
      </w:r>
    </w:p>
    <w:p w14:paraId="32EF9FCC" w14:textId="142FBE30" w:rsidR="00E41C1E" w:rsidRDefault="00E41C1E" w:rsidP="0012048C">
      <w:r>
        <w:br w:type="page"/>
      </w:r>
    </w:p>
    <w:p w14:paraId="5D4F03D8" w14:textId="77777777" w:rsidR="00A83A7D" w:rsidRDefault="2248451C" w:rsidP="2248451C">
      <w:pPr>
        <w:pStyle w:val="Cmsor3"/>
        <w:numPr>
          <w:ilvl w:val="0"/>
          <w:numId w:val="8"/>
        </w:numPr>
        <w:spacing w:before="0" w:after="120"/>
        <w:jc w:val="left"/>
        <w:rPr>
          <w:sz w:val="26"/>
          <w:szCs w:val="26"/>
        </w:rPr>
      </w:pPr>
      <w:r w:rsidRPr="2248451C">
        <w:rPr>
          <w:sz w:val="26"/>
          <w:szCs w:val="26"/>
        </w:rPr>
        <w:lastRenderedPageBreak/>
        <w:t>Kamategyenleg</w:t>
      </w:r>
    </w:p>
    <w:p w14:paraId="0E8ADD6E" w14:textId="31D9493B" w:rsidR="00B24013" w:rsidRPr="00B24013" w:rsidRDefault="2248451C" w:rsidP="006E7EDB">
      <w:pPr>
        <w:tabs>
          <w:tab w:val="left" w:pos="550"/>
        </w:tabs>
        <w:spacing w:before="120"/>
      </w:pPr>
      <w:r>
        <w:t xml:space="preserve">A bevételek és kiadások egyenlegeként adódó 474,3 milliárd forint összegű </w:t>
      </w:r>
      <w:r w:rsidRPr="2248451C">
        <w:rPr>
          <w:b/>
          <w:bCs/>
        </w:rPr>
        <w:t>nettó kamatkiadás</w:t>
      </w:r>
      <w:r>
        <w:t xml:space="preserve"> 93,</w:t>
      </w:r>
      <w:r w:rsidR="00261D48">
        <w:t>5</w:t>
      </w:r>
      <w:r>
        <w:t> milliárd forinttal lett több az előző év azonos időszakához képest, mely a kamatfizetések éven belüli eltérő lefutásával magyarázható.</w:t>
      </w:r>
    </w:p>
    <w:p w14:paraId="53E1E684" w14:textId="4CD2DD68" w:rsidR="004C30D8" w:rsidRPr="004C30D8" w:rsidRDefault="2248451C" w:rsidP="2248451C">
      <w:pPr>
        <w:tabs>
          <w:tab w:val="left" w:pos="550"/>
        </w:tabs>
        <w:spacing w:before="120"/>
        <w:jc w:val="center"/>
        <w:rPr>
          <w:b/>
          <w:bCs/>
          <w:sz w:val="20"/>
        </w:rPr>
      </w:pPr>
      <w:r w:rsidRPr="2248451C">
        <w:rPr>
          <w:b/>
          <w:bCs/>
          <w:sz w:val="20"/>
        </w:rPr>
        <w:t>A kamategyenleg összetétele (milliárd forintban)</w:t>
      </w:r>
    </w:p>
    <w:tbl>
      <w:tblPr>
        <w:tblW w:w="6971" w:type="dxa"/>
        <w:jc w:val="center"/>
        <w:tblCellMar>
          <w:left w:w="70" w:type="dxa"/>
          <w:right w:w="70" w:type="dxa"/>
        </w:tblCellMar>
        <w:tblLook w:val="04A0" w:firstRow="1" w:lastRow="0" w:firstColumn="1" w:lastColumn="0" w:noHBand="0" w:noVBand="1"/>
      </w:tblPr>
      <w:tblGrid>
        <w:gridCol w:w="195"/>
        <w:gridCol w:w="340"/>
        <w:gridCol w:w="4192"/>
        <w:gridCol w:w="1134"/>
        <w:gridCol w:w="1110"/>
      </w:tblGrid>
      <w:tr w:rsidR="004C30D8" w:rsidRPr="004C30D8" w14:paraId="2B7CD0E6" w14:textId="77777777" w:rsidTr="2248451C">
        <w:trPr>
          <w:trHeight w:val="285"/>
          <w:jc w:val="center"/>
        </w:trPr>
        <w:tc>
          <w:tcPr>
            <w:tcW w:w="472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03CB3B67" w14:textId="77777777" w:rsidR="004C30D8" w:rsidRPr="004C30D8" w:rsidRDefault="2248451C" w:rsidP="2248451C">
            <w:pPr>
              <w:spacing w:after="0"/>
              <w:jc w:val="center"/>
              <w:rPr>
                <w:b/>
                <w:bCs/>
                <w:sz w:val="22"/>
                <w:szCs w:val="22"/>
              </w:rPr>
            </w:pPr>
            <w:r w:rsidRPr="2248451C">
              <w:rPr>
                <w:b/>
                <w:bCs/>
                <w:sz w:val="22"/>
                <w:szCs w:val="22"/>
              </w:rPr>
              <w:t> </w:t>
            </w:r>
          </w:p>
        </w:tc>
        <w:tc>
          <w:tcPr>
            <w:tcW w:w="2244" w:type="dxa"/>
            <w:gridSpan w:val="2"/>
            <w:tcBorders>
              <w:top w:val="single" w:sz="4" w:space="0" w:color="auto"/>
              <w:left w:val="nil"/>
              <w:bottom w:val="nil"/>
              <w:right w:val="single" w:sz="4" w:space="0" w:color="000000" w:themeColor="text1"/>
            </w:tcBorders>
            <w:shd w:val="clear" w:color="auto" w:fill="auto"/>
            <w:noWrap/>
            <w:vAlign w:val="bottom"/>
            <w:hideMark/>
          </w:tcPr>
          <w:p w14:paraId="26B2914C" w14:textId="6846904C" w:rsidR="004C30D8" w:rsidRPr="004C30D8" w:rsidRDefault="2248451C" w:rsidP="2248451C">
            <w:pPr>
              <w:spacing w:after="0"/>
              <w:jc w:val="center"/>
              <w:rPr>
                <w:b/>
                <w:bCs/>
                <w:sz w:val="22"/>
                <w:szCs w:val="22"/>
              </w:rPr>
            </w:pPr>
            <w:r w:rsidRPr="2248451C">
              <w:rPr>
                <w:b/>
                <w:bCs/>
                <w:sz w:val="22"/>
                <w:szCs w:val="22"/>
              </w:rPr>
              <w:t>I-VII. hó</w:t>
            </w:r>
          </w:p>
        </w:tc>
      </w:tr>
      <w:tr w:rsidR="004C30D8" w:rsidRPr="004C30D8" w14:paraId="5F451AD5" w14:textId="77777777" w:rsidTr="2248451C">
        <w:trPr>
          <w:trHeight w:val="285"/>
          <w:jc w:val="center"/>
        </w:trPr>
        <w:tc>
          <w:tcPr>
            <w:tcW w:w="4727" w:type="dxa"/>
            <w:gridSpan w:val="3"/>
            <w:vMerge/>
            <w:tcBorders>
              <w:top w:val="single" w:sz="4" w:space="0" w:color="auto"/>
              <w:left w:val="single" w:sz="4" w:space="0" w:color="auto"/>
              <w:bottom w:val="single" w:sz="4" w:space="0" w:color="000000"/>
              <w:right w:val="single" w:sz="4" w:space="0" w:color="auto"/>
            </w:tcBorders>
            <w:vAlign w:val="center"/>
            <w:hideMark/>
          </w:tcPr>
          <w:p w14:paraId="6E66DB8C" w14:textId="77777777" w:rsidR="004C30D8" w:rsidRPr="004C30D8" w:rsidRDefault="004C30D8" w:rsidP="004C30D8">
            <w:pPr>
              <w:spacing w:after="0"/>
              <w:jc w:val="left"/>
              <w:rPr>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17B73" w14:textId="01D8A1F6" w:rsidR="004C30D8" w:rsidRPr="004C30D8" w:rsidRDefault="2248451C" w:rsidP="2248451C">
            <w:pPr>
              <w:spacing w:after="0"/>
              <w:jc w:val="center"/>
              <w:rPr>
                <w:b/>
                <w:bCs/>
                <w:sz w:val="22"/>
                <w:szCs w:val="22"/>
              </w:rPr>
            </w:pPr>
            <w:r w:rsidRPr="2248451C">
              <w:rPr>
                <w:b/>
                <w:bCs/>
                <w:sz w:val="22"/>
                <w:szCs w:val="22"/>
              </w:rPr>
              <w:t>2019</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14:paraId="02E9D2B5" w14:textId="6FBD0D39" w:rsidR="004C30D8" w:rsidRPr="004C30D8" w:rsidRDefault="2248451C" w:rsidP="2248451C">
            <w:pPr>
              <w:spacing w:after="0"/>
              <w:jc w:val="center"/>
              <w:rPr>
                <w:b/>
                <w:bCs/>
                <w:sz w:val="22"/>
                <w:szCs w:val="22"/>
              </w:rPr>
            </w:pPr>
            <w:r w:rsidRPr="2248451C">
              <w:rPr>
                <w:b/>
                <w:bCs/>
                <w:sz w:val="22"/>
                <w:szCs w:val="22"/>
              </w:rPr>
              <w:t>2020</w:t>
            </w:r>
          </w:p>
        </w:tc>
      </w:tr>
      <w:tr w:rsidR="00685D44" w:rsidRPr="004C30D8" w14:paraId="6DB9F97D" w14:textId="77777777" w:rsidTr="2248451C">
        <w:trPr>
          <w:trHeight w:val="285"/>
          <w:jc w:val="center"/>
        </w:trPr>
        <w:tc>
          <w:tcPr>
            <w:tcW w:w="4727"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23363E" w14:textId="77777777" w:rsidR="00685D44" w:rsidRPr="004C30D8" w:rsidRDefault="2248451C" w:rsidP="2248451C">
            <w:pPr>
              <w:spacing w:after="0"/>
              <w:jc w:val="left"/>
              <w:rPr>
                <w:b/>
                <w:bCs/>
                <w:sz w:val="22"/>
                <w:szCs w:val="22"/>
              </w:rPr>
            </w:pPr>
            <w:r w:rsidRPr="2248451C">
              <w:rPr>
                <w:b/>
                <w:bCs/>
                <w:sz w:val="22"/>
                <w:szCs w:val="22"/>
              </w:rPr>
              <w:t>1. Bevétel</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6E4E9B3" w14:textId="78868D08" w:rsidR="00685D44" w:rsidRPr="004C30D8" w:rsidRDefault="2248451C" w:rsidP="2248451C">
            <w:pPr>
              <w:spacing w:after="0"/>
              <w:jc w:val="right"/>
              <w:rPr>
                <w:b/>
                <w:bCs/>
                <w:sz w:val="22"/>
                <w:szCs w:val="22"/>
              </w:rPr>
            </w:pPr>
            <w:r w:rsidRPr="2248451C">
              <w:rPr>
                <w:b/>
                <w:bCs/>
                <w:sz w:val="22"/>
                <w:szCs w:val="22"/>
              </w:rPr>
              <w:t>148,1</w:t>
            </w:r>
          </w:p>
        </w:tc>
        <w:tc>
          <w:tcPr>
            <w:tcW w:w="1110" w:type="dxa"/>
            <w:tcBorders>
              <w:top w:val="nil"/>
              <w:left w:val="nil"/>
              <w:bottom w:val="single" w:sz="4" w:space="0" w:color="auto"/>
              <w:right w:val="single" w:sz="4" w:space="0" w:color="auto"/>
            </w:tcBorders>
            <w:shd w:val="clear" w:color="auto" w:fill="auto"/>
            <w:noWrap/>
            <w:vAlign w:val="bottom"/>
          </w:tcPr>
          <w:p w14:paraId="26E65790" w14:textId="3488FB84" w:rsidR="00685D44" w:rsidRPr="004C30D8" w:rsidRDefault="2248451C" w:rsidP="2248451C">
            <w:pPr>
              <w:spacing w:after="0"/>
              <w:jc w:val="right"/>
              <w:rPr>
                <w:b/>
                <w:bCs/>
                <w:sz w:val="22"/>
                <w:szCs w:val="22"/>
              </w:rPr>
            </w:pPr>
            <w:r w:rsidRPr="2248451C">
              <w:rPr>
                <w:b/>
                <w:bCs/>
                <w:sz w:val="22"/>
                <w:szCs w:val="22"/>
              </w:rPr>
              <w:t>101,9</w:t>
            </w:r>
          </w:p>
        </w:tc>
      </w:tr>
      <w:tr w:rsidR="00685D44" w:rsidRPr="004C30D8" w14:paraId="18A0C2F2" w14:textId="77777777" w:rsidTr="2248451C">
        <w:trPr>
          <w:trHeight w:val="300"/>
          <w:jc w:val="center"/>
        </w:trPr>
        <w:tc>
          <w:tcPr>
            <w:tcW w:w="195" w:type="dxa"/>
            <w:tcBorders>
              <w:top w:val="nil"/>
              <w:left w:val="single" w:sz="4" w:space="0" w:color="auto"/>
              <w:bottom w:val="single" w:sz="4" w:space="0" w:color="auto"/>
              <w:right w:val="nil"/>
            </w:tcBorders>
            <w:shd w:val="clear" w:color="auto" w:fill="FFFFFF" w:themeFill="background1"/>
            <w:noWrap/>
            <w:vAlign w:val="bottom"/>
            <w:hideMark/>
          </w:tcPr>
          <w:p w14:paraId="12A529DF" w14:textId="77777777" w:rsidR="00685D44" w:rsidRPr="004C30D8" w:rsidRDefault="2248451C" w:rsidP="2248451C">
            <w:pPr>
              <w:spacing w:after="0"/>
              <w:jc w:val="left"/>
              <w:rPr>
                <w:sz w:val="22"/>
                <w:szCs w:val="22"/>
              </w:rPr>
            </w:pPr>
            <w:r w:rsidRPr="2248451C">
              <w:rPr>
                <w:sz w:val="22"/>
                <w:szCs w:val="22"/>
              </w:rPr>
              <w:t> </w:t>
            </w:r>
          </w:p>
        </w:tc>
        <w:tc>
          <w:tcPr>
            <w:tcW w:w="4532"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6544146B" w14:textId="77777777" w:rsidR="00685D44" w:rsidRPr="004C30D8" w:rsidRDefault="2248451C" w:rsidP="2248451C">
            <w:pPr>
              <w:spacing w:after="0"/>
              <w:jc w:val="left"/>
              <w:rPr>
                <w:b/>
                <w:bCs/>
                <w:sz w:val="22"/>
                <w:szCs w:val="22"/>
              </w:rPr>
            </w:pPr>
            <w:r w:rsidRPr="2248451C">
              <w:rPr>
                <w:b/>
                <w:bCs/>
                <w:sz w:val="22"/>
                <w:szCs w:val="22"/>
              </w:rPr>
              <w:t>1.1. Forint</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FD046DA" w14:textId="3DF438DE" w:rsidR="00685D44" w:rsidRPr="004C30D8" w:rsidRDefault="2248451C" w:rsidP="2248451C">
            <w:pPr>
              <w:spacing w:after="0"/>
              <w:jc w:val="right"/>
              <w:rPr>
                <w:b/>
                <w:bCs/>
                <w:sz w:val="22"/>
                <w:szCs w:val="22"/>
              </w:rPr>
            </w:pPr>
            <w:r w:rsidRPr="2248451C">
              <w:rPr>
                <w:b/>
                <w:bCs/>
                <w:sz w:val="22"/>
                <w:szCs w:val="22"/>
              </w:rPr>
              <w:t>148,5</w:t>
            </w:r>
          </w:p>
        </w:tc>
        <w:tc>
          <w:tcPr>
            <w:tcW w:w="1110" w:type="dxa"/>
            <w:tcBorders>
              <w:top w:val="nil"/>
              <w:left w:val="nil"/>
              <w:bottom w:val="single" w:sz="4" w:space="0" w:color="auto"/>
              <w:right w:val="single" w:sz="4" w:space="0" w:color="auto"/>
            </w:tcBorders>
            <w:shd w:val="clear" w:color="auto" w:fill="auto"/>
            <w:noWrap/>
            <w:vAlign w:val="bottom"/>
          </w:tcPr>
          <w:p w14:paraId="743B0E4E" w14:textId="71EEA120" w:rsidR="00685D44" w:rsidRPr="004C30D8" w:rsidRDefault="2248451C" w:rsidP="2248451C">
            <w:pPr>
              <w:spacing w:after="0"/>
              <w:jc w:val="right"/>
              <w:rPr>
                <w:b/>
                <w:bCs/>
                <w:sz w:val="22"/>
                <w:szCs w:val="22"/>
              </w:rPr>
            </w:pPr>
            <w:r w:rsidRPr="2248451C">
              <w:rPr>
                <w:b/>
                <w:bCs/>
                <w:sz w:val="22"/>
                <w:szCs w:val="22"/>
              </w:rPr>
              <w:t>102,5</w:t>
            </w:r>
          </w:p>
        </w:tc>
      </w:tr>
      <w:tr w:rsidR="00F1271F" w:rsidRPr="004C30D8" w14:paraId="070AC738" w14:textId="77777777" w:rsidTr="2248451C">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6A637416" w14:textId="77777777" w:rsidR="00F1271F" w:rsidRPr="004C30D8" w:rsidRDefault="2248451C" w:rsidP="2248451C">
            <w:pPr>
              <w:spacing w:after="0"/>
              <w:jc w:val="left"/>
              <w:rPr>
                <w:sz w:val="22"/>
                <w:szCs w:val="22"/>
              </w:rPr>
            </w:pPr>
            <w:r w:rsidRPr="2248451C">
              <w:rPr>
                <w:sz w:val="22"/>
                <w:szCs w:val="22"/>
              </w:rPr>
              <w:t> </w:t>
            </w:r>
          </w:p>
        </w:tc>
        <w:tc>
          <w:tcPr>
            <w:tcW w:w="340" w:type="dxa"/>
            <w:tcBorders>
              <w:top w:val="nil"/>
              <w:left w:val="nil"/>
              <w:bottom w:val="nil"/>
              <w:right w:val="nil"/>
            </w:tcBorders>
            <w:shd w:val="clear" w:color="auto" w:fill="FFFFFF" w:themeFill="background1"/>
            <w:noWrap/>
            <w:vAlign w:val="bottom"/>
            <w:hideMark/>
          </w:tcPr>
          <w:p w14:paraId="04695659"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58224C74" w14:textId="77777777" w:rsidR="00F1271F" w:rsidRPr="004C30D8" w:rsidRDefault="2248451C" w:rsidP="2248451C">
            <w:pPr>
              <w:spacing w:after="0"/>
              <w:jc w:val="left"/>
              <w:rPr>
                <w:i/>
                <w:iCs/>
                <w:sz w:val="22"/>
                <w:szCs w:val="22"/>
              </w:rPr>
            </w:pPr>
            <w:r w:rsidRPr="2248451C">
              <w:rPr>
                <w:i/>
                <w:iCs/>
                <w:sz w:val="22"/>
                <w:szCs w:val="22"/>
              </w:rPr>
              <w:t>1.1.1. Államkötvények kamata</w:t>
            </w:r>
          </w:p>
        </w:tc>
        <w:tc>
          <w:tcPr>
            <w:tcW w:w="1134" w:type="dxa"/>
            <w:tcBorders>
              <w:top w:val="nil"/>
              <w:left w:val="single" w:sz="4" w:space="0" w:color="auto"/>
              <w:bottom w:val="nil"/>
              <w:right w:val="single" w:sz="4" w:space="0" w:color="auto"/>
            </w:tcBorders>
            <w:shd w:val="clear" w:color="auto" w:fill="auto"/>
            <w:noWrap/>
            <w:vAlign w:val="bottom"/>
          </w:tcPr>
          <w:p w14:paraId="36DBD9DB" w14:textId="6F274D9F" w:rsidR="00F1271F" w:rsidRPr="004C30D8" w:rsidRDefault="2248451C" w:rsidP="2248451C">
            <w:pPr>
              <w:spacing w:after="0"/>
              <w:jc w:val="right"/>
              <w:rPr>
                <w:i/>
                <w:iCs/>
                <w:sz w:val="22"/>
                <w:szCs w:val="22"/>
              </w:rPr>
            </w:pPr>
            <w:r w:rsidRPr="2248451C">
              <w:rPr>
                <w:i/>
                <w:iCs/>
                <w:sz w:val="22"/>
                <w:szCs w:val="22"/>
              </w:rPr>
              <w:t>147,8</w:t>
            </w:r>
          </w:p>
        </w:tc>
        <w:tc>
          <w:tcPr>
            <w:tcW w:w="1110" w:type="dxa"/>
            <w:tcBorders>
              <w:top w:val="nil"/>
              <w:left w:val="nil"/>
              <w:bottom w:val="nil"/>
              <w:right w:val="single" w:sz="4" w:space="0" w:color="auto"/>
            </w:tcBorders>
            <w:shd w:val="clear" w:color="auto" w:fill="auto"/>
            <w:noWrap/>
            <w:vAlign w:val="bottom"/>
          </w:tcPr>
          <w:p w14:paraId="2B4166A0" w14:textId="3DD60EE0" w:rsidR="00F1271F" w:rsidRPr="004C30D8" w:rsidRDefault="2248451C" w:rsidP="2248451C">
            <w:pPr>
              <w:spacing w:after="0"/>
              <w:jc w:val="right"/>
              <w:rPr>
                <w:i/>
                <w:iCs/>
                <w:sz w:val="22"/>
                <w:szCs w:val="22"/>
              </w:rPr>
            </w:pPr>
            <w:r w:rsidRPr="2248451C">
              <w:rPr>
                <w:i/>
                <w:iCs/>
                <w:sz w:val="22"/>
                <w:szCs w:val="22"/>
              </w:rPr>
              <w:t>99,7</w:t>
            </w:r>
          </w:p>
        </w:tc>
      </w:tr>
      <w:tr w:rsidR="00F1271F" w:rsidRPr="004C30D8" w14:paraId="48DED23A" w14:textId="77777777" w:rsidTr="2248451C">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43896092" w14:textId="5758D4F9" w:rsidR="00F1271F" w:rsidRPr="004C30D8" w:rsidRDefault="2248451C" w:rsidP="2248451C">
            <w:pPr>
              <w:spacing w:after="0"/>
              <w:jc w:val="left"/>
              <w:rPr>
                <w:sz w:val="22"/>
                <w:szCs w:val="22"/>
              </w:rPr>
            </w:pPr>
            <w:r w:rsidRPr="2248451C">
              <w:rPr>
                <w:sz w:val="22"/>
                <w:szCs w:val="22"/>
              </w:rPr>
              <w:t> </w:t>
            </w:r>
          </w:p>
        </w:tc>
        <w:tc>
          <w:tcPr>
            <w:tcW w:w="340" w:type="dxa"/>
            <w:tcBorders>
              <w:top w:val="nil"/>
              <w:left w:val="nil"/>
              <w:bottom w:val="nil"/>
              <w:right w:val="nil"/>
            </w:tcBorders>
            <w:shd w:val="clear" w:color="auto" w:fill="FFFFFF" w:themeFill="background1"/>
            <w:noWrap/>
            <w:vAlign w:val="bottom"/>
            <w:hideMark/>
          </w:tcPr>
          <w:p w14:paraId="084AA7D8"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3315C50A" w14:textId="77777777" w:rsidR="00F1271F" w:rsidRPr="004C30D8" w:rsidRDefault="2248451C" w:rsidP="2248451C">
            <w:pPr>
              <w:spacing w:after="0"/>
              <w:jc w:val="left"/>
              <w:rPr>
                <w:i/>
                <w:iCs/>
                <w:sz w:val="22"/>
                <w:szCs w:val="22"/>
              </w:rPr>
            </w:pPr>
            <w:r w:rsidRPr="2248451C">
              <w:rPr>
                <w:i/>
                <w:iCs/>
                <w:sz w:val="22"/>
                <w:szCs w:val="22"/>
              </w:rPr>
              <w:t>1.1.2. Kincstárjegyek kamata</w:t>
            </w:r>
          </w:p>
        </w:tc>
        <w:tc>
          <w:tcPr>
            <w:tcW w:w="1134" w:type="dxa"/>
            <w:tcBorders>
              <w:top w:val="nil"/>
              <w:left w:val="single" w:sz="4" w:space="0" w:color="auto"/>
              <w:bottom w:val="nil"/>
              <w:right w:val="single" w:sz="4" w:space="0" w:color="auto"/>
            </w:tcBorders>
            <w:shd w:val="clear" w:color="auto" w:fill="auto"/>
            <w:noWrap/>
            <w:vAlign w:val="bottom"/>
          </w:tcPr>
          <w:p w14:paraId="6534D39E" w14:textId="4EFEF65B" w:rsidR="00F1271F" w:rsidRPr="004C30D8" w:rsidRDefault="2248451C" w:rsidP="2248451C">
            <w:pPr>
              <w:spacing w:after="0"/>
              <w:jc w:val="right"/>
              <w:rPr>
                <w:i/>
                <w:iCs/>
                <w:sz w:val="22"/>
                <w:szCs w:val="22"/>
              </w:rPr>
            </w:pPr>
            <w:r w:rsidRPr="2248451C">
              <w:rPr>
                <w:i/>
                <w:iCs/>
                <w:sz w:val="22"/>
                <w:szCs w:val="22"/>
              </w:rPr>
              <w:t>0,1</w:t>
            </w:r>
          </w:p>
        </w:tc>
        <w:tc>
          <w:tcPr>
            <w:tcW w:w="1110" w:type="dxa"/>
            <w:tcBorders>
              <w:top w:val="nil"/>
              <w:left w:val="nil"/>
              <w:bottom w:val="nil"/>
              <w:right w:val="single" w:sz="4" w:space="0" w:color="auto"/>
            </w:tcBorders>
            <w:shd w:val="clear" w:color="auto" w:fill="auto"/>
            <w:noWrap/>
            <w:vAlign w:val="bottom"/>
          </w:tcPr>
          <w:p w14:paraId="36A73D13" w14:textId="2DE3DCA7" w:rsidR="00F1271F" w:rsidRPr="004C30D8" w:rsidRDefault="2248451C" w:rsidP="2248451C">
            <w:pPr>
              <w:spacing w:after="0"/>
              <w:jc w:val="right"/>
              <w:rPr>
                <w:i/>
                <w:iCs/>
                <w:sz w:val="22"/>
                <w:szCs w:val="22"/>
              </w:rPr>
            </w:pPr>
            <w:r w:rsidRPr="2248451C">
              <w:rPr>
                <w:i/>
                <w:iCs/>
                <w:sz w:val="22"/>
                <w:szCs w:val="22"/>
              </w:rPr>
              <w:t>0,0</w:t>
            </w:r>
          </w:p>
        </w:tc>
      </w:tr>
      <w:tr w:rsidR="00F1271F" w:rsidRPr="004C30D8" w14:paraId="5E8B8A2F" w14:textId="77777777" w:rsidTr="2248451C">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2733CA1F" w14:textId="77777777" w:rsidR="00F1271F" w:rsidRPr="004C30D8" w:rsidRDefault="2248451C" w:rsidP="2248451C">
            <w:pPr>
              <w:spacing w:after="0"/>
              <w:jc w:val="left"/>
              <w:rPr>
                <w:sz w:val="22"/>
                <w:szCs w:val="22"/>
              </w:rPr>
            </w:pPr>
            <w:r w:rsidRPr="2248451C">
              <w:rPr>
                <w:sz w:val="22"/>
                <w:szCs w:val="22"/>
              </w:rPr>
              <w:t> </w:t>
            </w:r>
          </w:p>
        </w:tc>
        <w:tc>
          <w:tcPr>
            <w:tcW w:w="340" w:type="dxa"/>
            <w:tcBorders>
              <w:top w:val="nil"/>
              <w:left w:val="nil"/>
              <w:bottom w:val="nil"/>
              <w:right w:val="nil"/>
            </w:tcBorders>
            <w:shd w:val="clear" w:color="auto" w:fill="FFFFFF" w:themeFill="background1"/>
            <w:noWrap/>
            <w:vAlign w:val="bottom"/>
            <w:hideMark/>
          </w:tcPr>
          <w:p w14:paraId="08DDD2F1"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40F22C8F" w14:textId="77777777" w:rsidR="00F1271F" w:rsidRPr="004C30D8" w:rsidRDefault="2248451C" w:rsidP="2248451C">
            <w:pPr>
              <w:spacing w:after="0"/>
              <w:jc w:val="left"/>
              <w:rPr>
                <w:i/>
                <w:iCs/>
                <w:sz w:val="22"/>
                <w:szCs w:val="22"/>
              </w:rPr>
            </w:pPr>
            <w:r w:rsidRPr="2248451C">
              <w:rPr>
                <w:i/>
                <w:iCs/>
                <w:sz w:val="22"/>
                <w:szCs w:val="22"/>
              </w:rPr>
              <w:t>1.1.3. Repóügyletek kamata</w:t>
            </w:r>
          </w:p>
        </w:tc>
        <w:tc>
          <w:tcPr>
            <w:tcW w:w="1134" w:type="dxa"/>
            <w:tcBorders>
              <w:top w:val="nil"/>
              <w:left w:val="single" w:sz="4" w:space="0" w:color="auto"/>
              <w:bottom w:val="nil"/>
              <w:right w:val="single" w:sz="4" w:space="0" w:color="auto"/>
            </w:tcBorders>
            <w:shd w:val="clear" w:color="auto" w:fill="auto"/>
            <w:noWrap/>
            <w:vAlign w:val="bottom"/>
          </w:tcPr>
          <w:p w14:paraId="25A44EF4" w14:textId="386326AE" w:rsidR="00F1271F" w:rsidRPr="004C30D8" w:rsidRDefault="2248451C" w:rsidP="2248451C">
            <w:pPr>
              <w:spacing w:after="0"/>
              <w:jc w:val="right"/>
              <w:rPr>
                <w:i/>
                <w:iCs/>
                <w:sz w:val="22"/>
                <w:szCs w:val="22"/>
              </w:rPr>
            </w:pPr>
            <w:r w:rsidRPr="2248451C">
              <w:rPr>
                <w:i/>
                <w:iCs/>
                <w:sz w:val="22"/>
                <w:szCs w:val="22"/>
              </w:rPr>
              <w:t>0,2</w:t>
            </w:r>
          </w:p>
        </w:tc>
        <w:tc>
          <w:tcPr>
            <w:tcW w:w="1110" w:type="dxa"/>
            <w:tcBorders>
              <w:top w:val="nil"/>
              <w:left w:val="nil"/>
              <w:bottom w:val="nil"/>
              <w:right w:val="single" w:sz="4" w:space="0" w:color="auto"/>
            </w:tcBorders>
            <w:shd w:val="clear" w:color="auto" w:fill="auto"/>
            <w:noWrap/>
            <w:vAlign w:val="bottom"/>
          </w:tcPr>
          <w:p w14:paraId="2B75BAC9" w14:textId="434FA3F7" w:rsidR="00F1271F" w:rsidRPr="004C30D8" w:rsidRDefault="2248451C" w:rsidP="2248451C">
            <w:pPr>
              <w:spacing w:after="0"/>
              <w:jc w:val="right"/>
              <w:rPr>
                <w:i/>
                <w:iCs/>
                <w:sz w:val="22"/>
                <w:szCs w:val="22"/>
              </w:rPr>
            </w:pPr>
            <w:r w:rsidRPr="2248451C">
              <w:rPr>
                <w:i/>
                <w:iCs/>
                <w:sz w:val="22"/>
                <w:szCs w:val="22"/>
              </w:rPr>
              <w:t>0,2</w:t>
            </w:r>
          </w:p>
        </w:tc>
      </w:tr>
      <w:tr w:rsidR="00F1271F" w:rsidRPr="004C30D8" w14:paraId="68D79656" w14:textId="77777777" w:rsidTr="2248451C">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2A410CC2" w14:textId="77777777" w:rsidR="00F1271F" w:rsidRPr="004C30D8" w:rsidRDefault="2248451C" w:rsidP="2248451C">
            <w:pPr>
              <w:spacing w:after="0"/>
              <w:jc w:val="left"/>
              <w:rPr>
                <w:sz w:val="22"/>
                <w:szCs w:val="22"/>
              </w:rPr>
            </w:pPr>
            <w:r w:rsidRPr="2248451C">
              <w:rPr>
                <w:sz w:val="22"/>
                <w:szCs w:val="22"/>
              </w:rPr>
              <w:t> </w:t>
            </w:r>
          </w:p>
        </w:tc>
        <w:tc>
          <w:tcPr>
            <w:tcW w:w="340" w:type="dxa"/>
            <w:tcBorders>
              <w:top w:val="nil"/>
              <w:left w:val="nil"/>
              <w:bottom w:val="nil"/>
              <w:right w:val="nil"/>
            </w:tcBorders>
            <w:shd w:val="clear" w:color="auto" w:fill="FFFFFF" w:themeFill="background1"/>
            <w:noWrap/>
            <w:vAlign w:val="bottom"/>
            <w:hideMark/>
          </w:tcPr>
          <w:p w14:paraId="1C934698"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59080012" w14:textId="77777777" w:rsidR="00F1271F" w:rsidRPr="004C30D8" w:rsidRDefault="2248451C" w:rsidP="2248451C">
            <w:pPr>
              <w:spacing w:after="0"/>
              <w:jc w:val="left"/>
              <w:rPr>
                <w:i/>
                <w:iCs/>
                <w:sz w:val="22"/>
                <w:szCs w:val="22"/>
              </w:rPr>
            </w:pPr>
            <w:r w:rsidRPr="2248451C">
              <w:rPr>
                <w:i/>
                <w:iCs/>
                <w:sz w:val="22"/>
                <w:szCs w:val="22"/>
              </w:rPr>
              <w:t>1.1.4. KESZ forint-betét kamata</w:t>
            </w:r>
          </w:p>
        </w:tc>
        <w:tc>
          <w:tcPr>
            <w:tcW w:w="1134" w:type="dxa"/>
            <w:tcBorders>
              <w:top w:val="nil"/>
              <w:left w:val="single" w:sz="4" w:space="0" w:color="auto"/>
              <w:bottom w:val="nil"/>
              <w:right w:val="single" w:sz="4" w:space="0" w:color="auto"/>
            </w:tcBorders>
            <w:shd w:val="clear" w:color="auto" w:fill="auto"/>
            <w:noWrap/>
            <w:vAlign w:val="bottom"/>
          </w:tcPr>
          <w:p w14:paraId="22F79DFD" w14:textId="00D5AD67" w:rsidR="00F1271F" w:rsidRPr="004C30D8" w:rsidRDefault="2248451C" w:rsidP="2248451C">
            <w:pPr>
              <w:spacing w:after="0"/>
              <w:jc w:val="right"/>
              <w:rPr>
                <w:i/>
                <w:iCs/>
                <w:sz w:val="22"/>
                <w:szCs w:val="22"/>
              </w:rPr>
            </w:pPr>
            <w:r w:rsidRPr="2248451C">
              <w:rPr>
                <w:i/>
                <w:iCs/>
                <w:sz w:val="22"/>
                <w:szCs w:val="22"/>
              </w:rPr>
              <w:t>0,4</w:t>
            </w:r>
          </w:p>
        </w:tc>
        <w:tc>
          <w:tcPr>
            <w:tcW w:w="1110" w:type="dxa"/>
            <w:tcBorders>
              <w:top w:val="nil"/>
              <w:left w:val="nil"/>
              <w:bottom w:val="nil"/>
              <w:right w:val="single" w:sz="4" w:space="0" w:color="auto"/>
            </w:tcBorders>
            <w:shd w:val="clear" w:color="auto" w:fill="auto"/>
            <w:noWrap/>
            <w:vAlign w:val="bottom"/>
          </w:tcPr>
          <w:p w14:paraId="1074B886" w14:textId="1CD7ECB5" w:rsidR="00F1271F" w:rsidRPr="004C30D8" w:rsidRDefault="2248451C" w:rsidP="2248451C">
            <w:pPr>
              <w:spacing w:after="0"/>
              <w:jc w:val="right"/>
              <w:rPr>
                <w:i/>
                <w:iCs/>
                <w:sz w:val="22"/>
                <w:szCs w:val="22"/>
              </w:rPr>
            </w:pPr>
            <w:r w:rsidRPr="2248451C">
              <w:rPr>
                <w:i/>
                <w:iCs/>
                <w:sz w:val="22"/>
                <w:szCs w:val="22"/>
              </w:rPr>
              <w:t>2,6</w:t>
            </w:r>
          </w:p>
        </w:tc>
      </w:tr>
      <w:tr w:rsidR="00F1271F" w:rsidRPr="004C30D8" w14:paraId="3D745D4B" w14:textId="77777777" w:rsidTr="2248451C">
        <w:trPr>
          <w:trHeight w:val="300"/>
          <w:jc w:val="center"/>
        </w:trPr>
        <w:tc>
          <w:tcPr>
            <w:tcW w:w="195"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31AF6125" w14:textId="77777777" w:rsidR="00F1271F" w:rsidRPr="004C30D8" w:rsidRDefault="2248451C" w:rsidP="2248451C">
            <w:pPr>
              <w:spacing w:after="0"/>
              <w:jc w:val="left"/>
              <w:rPr>
                <w:sz w:val="22"/>
                <w:szCs w:val="22"/>
              </w:rPr>
            </w:pPr>
            <w:r w:rsidRPr="2248451C">
              <w:rPr>
                <w:sz w:val="22"/>
                <w:szCs w:val="22"/>
              </w:rPr>
              <w:t> </w:t>
            </w:r>
          </w:p>
        </w:tc>
        <w:tc>
          <w:tcPr>
            <w:tcW w:w="4532"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302EA49B" w14:textId="77777777" w:rsidR="00F1271F" w:rsidRPr="004C30D8" w:rsidRDefault="2248451C" w:rsidP="2248451C">
            <w:pPr>
              <w:spacing w:after="0"/>
              <w:jc w:val="left"/>
              <w:rPr>
                <w:b/>
                <w:bCs/>
                <w:sz w:val="22"/>
                <w:szCs w:val="22"/>
              </w:rPr>
            </w:pPr>
            <w:r w:rsidRPr="2248451C">
              <w:rPr>
                <w:b/>
                <w:bCs/>
                <w:sz w:val="22"/>
                <w:szCs w:val="22"/>
              </w:rPr>
              <w:t>1.2. Deviza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D91D3" w14:textId="13169E12" w:rsidR="00F1271F" w:rsidRPr="004C30D8" w:rsidRDefault="2248451C" w:rsidP="2248451C">
            <w:pPr>
              <w:spacing w:after="0"/>
              <w:jc w:val="right"/>
              <w:rPr>
                <w:b/>
                <w:bCs/>
                <w:sz w:val="22"/>
                <w:szCs w:val="22"/>
              </w:rPr>
            </w:pPr>
            <w:r w:rsidRPr="2248451C">
              <w:rPr>
                <w:b/>
                <w:bCs/>
                <w:sz w:val="22"/>
                <w:szCs w:val="22"/>
              </w:rPr>
              <w:t>-0,4</w:t>
            </w: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6E7FF203" w14:textId="536DC0C4" w:rsidR="00F1271F" w:rsidRPr="004C30D8" w:rsidRDefault="2248451C" w:rsidP="2248451C">
            <w:pPr>
              <w:spacing w:after="0"/>
              <w:jc w:val="right"/>
              <w:rPr>
                <w:b/>
                <w:bCs/>
                <w:sz w:val="22"/>
                <w:szCs w:val="22"/>
              </w:rPr>
            </w:pPr>
            <w:r w:rsidRPr="2248451C">
              <w:rPr>
                <w:b/>
                <w:bCs/>
                <w:sz w:val="22"/>
                <w:szCs w:val="22"/>
              </w:rPr>
              <w:t>-0,6</w:t>
            </w:r>
          </w:p>
        </w:tc>
      </w:tr>
      <w:tr w:rsidR="00F1271F" w:rsidRPr="004C30D8" w14:paraId="3C5A578D" w14:textId="77777777" w:rsidTr="2248451C">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342BD7FE" w14:textId="77777777" w:rsidR="00F1271F" w:rsidRPr="004C30D8" w:rsidRDefault="2248451C" w:rsidP="2248451C">
            <w:pPr>
              <w:spacing w:after="0"/>
              <w:jc w:val="left"/>
              <w:rPr>
                <w:sz w:val="22"/>
                <w:szCs w:val="22"/>
              </w:rPr>
            </w:pPr>
            <w:r w:rsidRPr="2248451C">
              <w:rPr>
                <w:sz w:val="22"/>
                <w:szCs w:val="22"/>
              </w:rPr>
              <w:t> </w:t>
            </w:r>
          </w:p>
        </w:tc>
        <w:tc>
          <w:tcPr>
            <w:tcW w:w="340" w:type="dxa"/>
            <w:tcBorders>
              <w:top w:val="nil"/>
              <w:left w:val="nil"/>
              <w:bottom w:val="nil"/>
              <w:right w:val="nil"/>
            </w:tcBorders>
            <w:shd w:val="clear" w:color="auto" w:fill="FFFFFF" w:themeFill="background1"/>
            <w:noWrap/>
            <w:vAlign w:val="bottom"/>
            <w:hideMark/>
          </w:tcPr>
          <w:p w14:paraId="110A0BA2"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496D0FF5" w14:textId="77777777" w:rsidR="00F1271F" w:rsidRPr="004C30D8" w:rsidRDefault="2248451C" w:rsidP="2248451C">
            <w:pPr>
              <w:spacing w:after="0"/>
              <w:jc w:val="left"/>
              <w:rPr>
                <w:i/>
                <w:iCs/>
                <w:sz w:val="22"/>
                <w:szCs w:val="22"/>
              </w:rPr>
            </w:pPr>
            <w:r w:rsidRPr="2248451C">
              <w:rPr>
                <w:i/>
                <w:iCs/>
                <w:sz w:val="22"/>
                <w:szCs w:val="22"/>
              </w:rPr>
              <w:t>1.2.1. Devizaműveletek kamatelszámolásai</w:t>
            </w:r>
          </w:p>
        </w:tc>
        <w:tc>
          <w:tcPr>
            <w:tcW w:w="1134" w:type="dxa"/>
            <w:tcBorders>
              <w:top w:val="nil"/>
              <w:left w:val="single" w:sz="4" w:space="0" w:color="auto"/>
              <w:bottom w:val="nil"/>
              <w:right w:val="single" w:sz="4" w:space="0" w:color="auto"/>
            </w:tcBorders>
            <w:shd w:val="clear" w:color="auto" w:fill="auto"/>
            <w:noWrap/>
            <w:vAlign w:val="bottom"/>
          </w:tcPr>
          <w:p w14:paraId="7809F621" w14:textId="5BF00305" w:rsidR="00F1271F" w:rsidRPr="004C30D8" w:rsidRDefault="2248451C" w:rsidP="2248451C">
            <w:pPr>
              <w:spacing w:after="0"/>
              <w:jc w:val="right"/>
              <w:rPr>
                <w:i/>
                <w:iCs/>
                <w:sz w:val="22"/>
                <w:szCs w:val="22"/>
              </w:rPr>
            </w:pPr>
            <w:r w:rsidRPr="2248451C">
              <w:rPr>
                <w:i/>
                <w:iCs/>
                <w:sz w:val="22"/>
                <w:szCs w:val="22"/>
              </w:rPr>
              <w:t>-0,4</w:t>
            </w:r>
          </w:p>
        </w:tc>
        <w:tc>
          <w:tcPr>
            <w:tcW w:w="1110" w:type="dxa"/>
            <w:tcBorders>
              <w:top w:val="nil"/>
              <w:left w:val="nil"/>
              <w:bottom w:val="nil"/>
              <w:right w:val="single" w:sz="4" w:space="0" w:color="auto"/>
            </w:tcBorders>
            <w:shd w:val="clear" w:color="auto" w:fill="auto"/>
            <w:noWrap/>
            <w:vAlign w:val="bottom"/>
          </w:tcPr>
          <w:p w14:paraId="31343ECF" w14:textId="6AA83E5F" w:rsidR="00F1271F" w:rsidRPr="004C30D8" w:rsidRDefault="2248451C" w:rsidP="2248451C">
            <w:pPr>
              <w:spacing w:after="0"/>
              <w:jc w:val="right"/>
              <w:rPr>
                <w:i/>
                <w:iCs/>
                <w:sz w:val="22"/>
                <w:szCs w:val="22"/>
              </w:rPr>
            </w:pPr>
            <w:r w:rsidRPr="2248451C">
              <w:rPr>
                <w:i/>
                <w:iCs/>
                <w:sz w:val="22"/>
                <w:szCs w:val="22"/>
              </w:rPr>
              <w:t>-0,6</w:t>
            </w:r>
          </w:p>
        </w:tc>
      </w:tr>
      <w:tr w:rsidR="00F1271F" w:rsidRPr="004C30D8" w14:paraId="73CD69D7" w14:textId="77777777" w:rsidTr="2248451C">
        <w:trPr>
          <w:trHeight w:val="300"/>
          <w:jc w:val="center"/>
        </w:trPr>
        <w:tc>
          <w:tcPr>
            <w:tcW w:w="195"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70DD9995" w14:textId="77777777" w:rsidR="00F1271F" w:rsidRPr="004C30D8" w:rsidRDefault="2248451C" w:rsidP="2248451C">
            <w:pPr>
              <w:spacing w:after="0"/>
              <w:jc w:val="left"/>
              <w:rPr>
                <w:sz w:val="22"/>
                <w:szCs w:val="22"/>
              </w:rPr>
            </w:pPr>
            <w:r w:rsidRPr="2248451C">
              <w:rPr>
                <w:sz w:val="22"/>
                <w:szCs w:val="22"/>
              </w:rPr>
              <w:t> </w:t>
            </w:r>
          </w:p>
        </w:tc>
        <w:tc>
          <w:tcPr>
            <w:tcW w:w="340" w:type="dxa"/>
            <w:tcBorders>
              <w:top w:val="single" w:sz="4" w:space="0" w:color="auto"/>
              <w:left w:val="nil"/>
              <w:bottom w:val="single" w:sz="4" w:space="0" w:color="auto"/>
              <w:right w:val="nil"/>
            </w:tcBorders>
            <w:shd w:val="clear" w:color="auto" w:fill="FFFFFF" w:themeFill="background1"/>
            <w:noWrap/>
            <w:vAlign w:val="bottom"/>
            <w:hideMark/>
          </w:tcPr>
          <w:p w14:paraId="0059CF69"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076A060" w14:textId="77777777" w:rsidR="00F1271F" w:rsidRPr="004C30D8" w:rsidRDefault="2248451C" w:rsidP="2248451C">
            <w:pPr>
              <w:spacing w:after="0"/>
              <w:jc w:val="left"/>
              <w:rPr>
                <w:i/>
                <w:iCs/>
                <w:sz w:val="22"/>
                <w:szCs w:val="22"/>
              </w:rPr>
            </w:pPr>
            <w:r w:rsidRPr="2248451C">
              <w:rPr>
                <w:i/>
                <w:iCs/>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34351" w14:textId="48995B27" w:rsidR="00F1271F" w:rsidRPr="004C30D8" w:rsidRDefault="00F1271F" w:rsidP="27083F14">
            <w:pPr>
              <w:spacing w:after="0"/>
              <w:jc w:val="left"/>
              <w:rPr>
                <w:i/>
                <w:iCs/>
                <w:sz w:val="22"/>
                <w:szCs w:val="22"/>
              </w:rPr>
            </w:pP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5C6A445C" w14:textId="75FB6688" w:rsidR="00F1271F" w:rsidRPr="004C30D8" w:rsidRDefault="00F1271F" w:rsidP="27083F14">
            <w:pPr>
              <w:spacing w:after="0"/>
              <w:jc w:val="left"/>
              <w:rPr>
                <w:i/>
                <w:iCs/>
                <w:sz w:val="22"/>
                <w:szCs w:val="22"/>
              </w:rPr>
            </w:pPr>
          </w:p>
        </w:tc>
      </w:tr>
      <w:tr w:rsidR="00F1271F" w:rsidRPr="004C30D8" w14:paraId="06C524E9" w14:textId="77777777" w:rsidTr="2248451C">
        <w:trPr>
          <w:trHeight w:val="285"/>
          <w:jc w:val="center"/>
        </w:trPr>
        <w:tc>
          <w:tcPr>
            <w:tcW w:w="4727"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2A6256F1" w14:textId="77777777" w:rsidR="00F1271F" w:rsidRPr="004C30D8" w:rsidRDefault="2248451C" w:rsidP="2248451C">
            <w:pPr>
              <w:spacing w:after="0"/>
              <w:jc w:val="left"/>
              <w:rPr>
                <w:b/>
                <w:bCs/>
                <w:sz w:val="22"/>
                <w:szCs w:val="22"/>
              </w:rPr>
            </w:pPr>
            <w:r w:rsidRPr="2248451C">
              <w:rPr>
                <w:b/>
                <w:bCs/>
                <w:sz w:val="22"/>
                <w:szCs w:val="22"/>
              </w:rPr>
              <w:t>2. Kiadás</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9AE1C5E" w14:textId="3361E235" w:rsidR="00F1271F" w:rsidRPr="004C30D8" w:rsidRDefault="2248451C" w:rsidP="2248451C">
            <w:pPr>
              <w:spacing w:after="0"/>
              <w:jc w:val="right"/>
              <w:rPr>
                <w:b/>
                <w:bCs/>
                <w:sz w:val="22"/>
                <w:szCs w:val="22"/>
              </w:rPr>
            </w:pPr>
            <w:r w:rsidRPr="2248451C">
              <w:rPr>
                <w:b/>
                <w:bCs/>
                <w:sz w:val="22"/>
                <w:szCs w:val="22"/>
              </w:rPr>
              <w:t>528,9</w:t>
            </w:r>
          </w:p>
        </w:tc>
        <w:tc>
          <w:tcPr>
            <w:tcW w:w="1110" w:type="dxa"/>
            <w:tcBorders>
              <w:top w:val="nil"/>
              <w:left w:val="nil"/>
              <w:bottom w:val="single" w:sz="4" w:space="0" w:color="auto"/>
              <w:right w:val="single" w:sz="4" w:space="0" w:color="auto"/>
            </w:tcBorders>
            <w:shd w:val="clear" w:color="auto" w:fill="auto"/>
            <w:noWrap/>
            <w:vAlign w:val="bottom"/>
          </w:tcPr>
          <w:p w14:paraId="4782FA32" w14:textId="2980EFE6" w:rsidR="00F1271F" w:rsidRPr="004C30D8" w:rsidRDefault="2248451C" w:rsidP="2248451C">
            <w:pPr>
              <w:spacing w:after="0"/>
              <w:jc w:val="right"/>
              <w:rPr>
                <w:b/>
                <w:bCs/>
                <w:sz w:val="22"/>
                <w:szCs w:val="22"/>
              </w:rPr>
            </w:pPr>
            <w:r w:rsidRPr="2248451C">
              <w:rPr>
                <w:b/>
                <w:bCs/>
                <w:sz w:val="22"/>
                <w:szCs w:val="22"/>
              </w:rPr>
              <w:t>576,2</w:t>
            </w:r>
          </w:p>
        </w:tc>
      </w:tr>
      <w:tr w:rsidR="00F1271F" w:rsidRPr="004C30D8" w14:paraId="7F40CE4A" w14:textId="77777777" w:rsidTr="2248451C">
        <w:trPr>
          <w:trHeight w:val="300"/>
          <w:jc w:val="center"/>
        </w:trPr>
        <w:tc>
          <w:tcPr>
            <w:tcW w:w="195" w:type="dxa"/>
            <w:tcBorders>
              <w:top w:val="nil"/>
              <w:left w:val="single" w:sz="4" w:space="0" w:color="auto"/>
              <w:bottom w:val="single" w:sz="4" w:space="0" w:color="auto"/>
              <w:right w:val="nil"/>
            </w:tcBorders>
            <w:shd w:val="clear" w:color="auto" w:fill="FFFFFF" w:themeFill="background1"/>
            <w:noWrap/>
            <w:vAlign w:val="bottom"/>
            <w:hideMark/>
          </w:tcPr>
          <w:p w14:paraId="5425C2D4" w14:textId="77777777" w:rsidR="00F1271F" w:rsidRPr="004C30D8" w:rsidRDefault="2248451C" w:rsidP="2248451C">
            <w:pPr>
              <w:spacing w:after="0"/>
              <w:jc w:val="left"/>
              <w:rPr>
                <w:sz w:val="22"/>
                <w:szCs w:val="22"/>
              </w:rPr>
            </w:pPr>
            <w:r w:rsidRPr="2248451C">
              <w:rPr>
                <w:sz w:val="22"/>
                <w:szCs w:val="22"/>
              </w:rPr>
              <w:t> </w:t>
            </w:r>
          </w:p>
        </w:tc>
        <w:tc>
          <w:tcPr>
            <w:tcW w:w="4532"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47B02418" w14:textId="77777777" w:rsidR="00F1271F" w:rsidRPr="004C30D8" w:rsidRDefault="2248451C" w:rsidP="2248451C">
            <w:pPr>
              <w:spacing w:after="0"/>
              <w:jc w:val="left"/>
              <w:rPr>
                <w:b/>
                <w:bCs/>
                <w:sz w:val="22"/>
                <w:szCs w:val="22"/>
              </w:rPr>
            </w:pPr>
            <w:r w:rsidRPr="2248451C">
              <w:rPr>
                <w:b/>
                <w:bCs/>
                <w:sz w:val="22"/>
                <w:szCs w:val="22"/>
              </w:rPr>
              <w:t>2.1 Forint</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B6587D5" w14:textId="18BE023C" w:rsidR="00F1271F" w:rsidRPr="004C30D8" w:rsidRDefault="2248451C" w:rsidP="2248451C">
            <w:pPr>
              <w:spacing w:after="0"/>
              <w:jc w:val="right"/>
              <w:rPr>
                <w:b/>
                <w:bCs/>
                <w:sz w:val="22"/>
                <w:szCs w:val="22"/>
              </w:rPr>
            </w:pPr>
            <w:r w:rsidRPr="2248451C">
              <w:rPr>
                <w:b/>
                <w:bCs/>
                <w:sz w:val="22"/>
                <w:szCs w:val="22"/>
              </w:rPr>
              <w:t>425,4</w:t>
            </w:r>
          </w:p>
        </w:tc>
        <w:tc>
          <w:tcPr>
            <w:tcW w:w="1110" w:type="dxa"/>
            <w:tcBorders>
              <w:top w:val="nil"/>
              <w:left w:val="nil"/>
              <w:bottom w:val="single" w:sz="4" w:space="0" w:color="auto"/>
              <w:right w:val="single" w:sz="4" w:space="0" w:color="auto"/>
            </w:tcBorders>
            <w:shd w:val="clear" w:color="auto" w:fill="auto"/>
            <w:noWrap/>
            <w:vAlign w:val="bottom"/>
          </w:tcPr>
          <w:p w14:paraId="1118CB6D" w14:textId="1EC102EA" w:rsidR="00F1271F" w:rsidRPr="004C30D8" w:rsidRDefault="2248451C" w:rsidP="2248451C">
            <w:pPr>
              <w:spacing w:after="0"/>
              <w:jc w:val="right"/>
              <w:rPr>
                <w:b/>
                <w:bCs/>
                <w:sz w:val="22"/>
                <w:szCs w:val="22"/>
              </w:rPr>
            </w:pPr>
            <w:r w:rsidRPr="2248451C">
              <w:rPr>
                <w:b/>
                <w:bCs/>
                <w:sz w:val="22"/>
                <w:szCs w:val="22"/>
              </w:rPr>
              <w:t>445,4</w:t>
            </w:r>
          </w:p>
        </w:tc>
      </w:tr>
      <w:tr w:rsidR="00F1271F" w:rsidRPr="004C30D8" w14:paraId="3182E062" w14:textId="77777777" w:rsidTr="2248451C">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7436E7D6" w14:textId="77777777" w:rsidR="00F1271F" w:rsidRPr="004C30D8" w:rsidRDefault="2248451C" w:rsidP="2248451C">
            <w:pPr>
              <w:spacing w:after="0"/>
              <w:jc w:val="left"/>
              <w:rPr>
                <w:sz w:val="22"/>
                <w:szCs w:val="22"/>
              </w:rPr>
            </w:pPr>
            <w:r w:rsidRPr="2248451C">
              <w:rPr>
                <w:sz w:val="22"/>
                <w:szCs w:val="22"/>
              </w:rPr>
              <w:t> </w:t>
            </w:r>
          </w:p>
        </w:tc>
        <w:tc>
          <w:tcPr>
            <w:tcW w:w="340" w:type="dxa"/>
            <w:tcBorders>
              <w:top w:val="nil"/>
              <w:left w:val="nil"/>
              <w:bottom w:val="nil"/>
              <w:right w:val="nil"/>
            </w:tcBorders>
            <w:shd w:val="clear" w:color="auto" w:fill="FFFFFF" w:themeFill="background1"/>
            <w:noWrap/>
            <w:vAlign w:val="bottom"/>
            <w:hideMark/>
          </w:tcPr>
          <w:p w14:paraId="7968FFCA"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4C29DCBF" w14:textId="77777777" w:rsidR="00F1271F" w:rsidRPr="004C30D8" w:rsidRDefault="2248451C" w:rsidP="2248451C">
            <w:pPr>
              <w:spacing w:after="0"/>
              <w:jc w:val="left"/>
              <w:rPr>
                <w:i/>
                <w:iCs/>
                <w:sz w:val="22"/>
                <w:szCs w:val="22"/>
              </w:rPr>
            </w:pPr>
            <w:r w:rsidRPr="2248451C">
              <w:rPr>
                <w:i/>
                <w:iCs/>
                <w:sz w:val="22"/>
                <w:szCs w:val="22"/>
              </w:rPr>
              <w:t>2.1.1. Forinthitelek kamata</w:t>
            </w:r>
          </w:p>
        </w:tc>
        <w:tc>
          <w:tcPr>
            <w:tcW w:w="1134" w:type="dxa"/>
            <w:tcBorders>
              <w:top w:val="nil"/>
              <w:left w:val="single" w:sz="4" w:space="0" w:color="auto"/>
              <w:bottom w:val="nil"/>
              <w:right w:val="single" w:sz="4" w:space="0" w:color="auto"/>
            </w:tcBorders>
            <w:shd w:val="clear" w:color="auto" w:fill="auto"/>
            <w:noWrap/>
            <w:vAlign w:val="bottom"/>
          </w:tcPr>
          <w:p w14:paraId="7D0668AB" w14:textId="6BFF303D" w:rsidR="00F1271F" w:rsidRPr="004C30D8" w:rsidRDefault="2248451C" w:rsidP="2248451C">
            <w:pPr>
              <w:spacing w:after="0"/>
              <w:jc w:val="right"/>
              <w:rPr>
                <w:i/>
                <w:iCs/>
                <w:sz w:val="22"/>
                <w:szCs w:val="22"/>
              </w:rPr>
            </w:pPr>
            <w:r w:rsidRPr="2248451C">
              <w:rPr>
                <w:i/>
                <w:iCs/>
                <w:sz w:val="22"/>
                <w:szCs w:val="22"/>
              </w:rPr>
              <w:t>15,4</w:t>
            </w:r>
          </w:p>
        </w:tc>
        <w:tc>
          <w:tcPr>
            <w:tcW w:w="1110" w:type="dxa"/>
            <w:tcBorders>
              <w:top w:val="nil"/>
              <w:left w:val="nil"/>
              <w:bottom w:val="nil"/>
              <w:right w:val="single" w:sz="4" w:space="0" w:color="auto"/>
            </w:tcBorders>
            <w:shd w:val="clear" w:color="auto" w:fill="auto"/>
            <w:noWrap/>
            <w:vAlign w:val="bottom"/>
          </w:tcPr>
          <w:p w14:paraId="79EA6DCA" w14:textId="1FD46171" w:rsidR="00F1271F" w:rsidRPr="004C30D8" w:rsidRDefault="2248451C" w:rsidP="2248451C">
            <w:pPr>
              <w:spacing w:after="0"/>
              <w:jc w:val="right"/>
              <w:rPr>
                <w:i/>
                <w:iCs/>
                <w:sz w:val="22"/>
                <w:szCs w:val="22"/>
              </w:rPr>
            </w:pPr>
            <w:r w:rsidRPr="2248451C">
              <w:rPr>
                <w:i/>
                <w:iCs/>
                <w:sz w:val="22"/>
                <w:szCs w:val="22"/>
              </w:rPr>
              <w:t>16,0</w:t>
            </w:r>
          </w:p>
        </w:tc>
      </w:tr>
      <w:tr w:rsidR="00F1271F" w:rsidRPr="004C30D8" w14:paraId="54BAEB82" w14:textId="77777777" w:rsidTr="2248451C">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04E6EF24" w14:textId="77777777" w:rsidR="00F1271F" w:rsidRPr="004C30D8" w:rsidRDefault="2248451C" w:rsidP="2248451C">
            <w:pPr>
              <w:spacing w:after="0"/>
              <w:jc w:val="left"/>
              <w:rPr>
                <w:sz w:val="22"/>
                <w:szCs w:val="22"/>
              </w:rPr>
            </w:pPr>
            <w:r w:rsidRPr="2248451C">
              <w:rPr>
                <w:sz w:val="22"/>
                <w:szCs w:val="22"/>
              </w:rPr>
              <w:t> </w:t>
            </w:r>
          </w:p>
        </w:tc>
        <w:tc>
          <w:tcPr>
            <w:tcW w:w="340" w:type="dxa"/>
            <w:tcBorders>
              <w:top w:val="nil"/>
              <w:left w:val="nil"/>
              <w:bottom w:val="nil"/>
              <w:right w:val="nil"/>
            </w:tcBorders>
            <w:shd w:val="clear" w:color="auto" w:fill="FFFFFF" w:themeFill="background1"/>
            <w:noWrap/>
            <w:vAlign w:val="bottom"/>
            <w:hideMark/>
          </w:tcPr>
          <w:p w14:paraId="2A70DBE5"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46B0B349" w14:textId="77777777" w:rsidR="00F1271F" w:rsidRPr="004C30D8" w:rsidRDefault="2248451C" w:rsidP="2248451C">
            <w:pPr>
              <w:spacing w:after="0"/>
              <w:jc w:val="left"/>
              <w:rPr>
                <w:i/>
                <w:iCs/>
                <w:sz w:val="22"/>
                <w:szCs w:val="22"/>
              </w:rPr>
            </w:pPr>
            <w:r w:rsidRPr="2248451C">
              <w:rPr>
                <w:i/>
                <w:iCs/>
                <w:sz w:val="22"/>
                <w:szCs w:val="22"/>
              </w:rPr>
              <w:t>2.1.2. Államkötvények kamata</w:t>
            </w:r>
          </w:p>
        </w:tc>
        <w:tc>
          <w:tcPr>
            <w:tcW w:w="1134" w:type="dxa"/>
            <w:tcBorders>
              <w:top w:val="nil"/>
              <w:left w:val="single" w:sz="4" w:space="0" w:color="auto"/>
              <w:bottom w:val="nil"/>
              <w:right w:val="single" w:sz="4" w:space="0" w:color="auto"/>
            </w:tcBorders>
            <w:shd w:val="clear" w:color="auto" w:fill="auto"/>
            <w:noWrap/>
            <w:vAlign w:val="bottom"/>
          </w:tcPr>
          <w:p w14:paraId="03DAE239" w14:textId="1F70B41A" w:rsidR="00F1271F" w:rsidRPr="004C30D8" w:rsidRDefault="2248451C" w:rsidP="2248451C">
            <w:pPr>
              <w:spacing w:after="0"/>
              <w:jc w:val="right"/>
              <w:rPr>
                <w:i/>
                <w:iCs/>
                <w:sz w:val="22"/>
                <w:szCs w:val="22"/>
              </w:rPr>
            </w:pPr>
            <w:r w:rsidRPr="2248451C">
              <w:rPr>
                <w:i/>
                <w:iCs/>
                <w:sz w:val="22"/>
                <w:szCs w:val="22"/>
              </w:rPr>
              <w:t>363,6</w:t>
            </w:r>
          </w:p>
        </w:tc>
        <w:tc>
          <w:tcPr>
            <w:tcW w:w="1110" w:type="dxa"/>
            <w:tcBorders>
              <w:top w:val="nil"/>
              <w:left w:val="nil"/>
              <w:bottom w:val="nil"/>
              <w:right w:val="single" w:sz="4" w:space="0" w:color="auto"/>
            </w:tcBorders>
            <w:shd w:val="clear" w:color="auto" w:fill="auto"/>
            <w:noWrap/>
            <w:vAlign w:val="bottom"/>
          </w:tcPr>
          <w:p w14:paraId="7F254AFE" w14:textId="582096D4" w:rsidR="00F1271F" w:rsidRPr="004C30D8" w:rsidRDefault="2248451C" w:rsidP="2248451C">
            <w:pPr>
              <w:spacing w:after="0"/>
              <w:jc w:val="right"/>
              <w:rPr>
                <w:i/>
                <w:iCs/>
                <w:sz w:val="22"/>
                <w:szCs w:val="22"/>
              </w:rPr>
            </w:pPr>
            <w:r w:rsidRPr="2248451C">
              <w:rPr>
                <w:i/>
                <w:iCs/>
                <w:sz w:val="22"/>
                <w:szCs w:val="22"/>
              </w:rPr>
              <w:t>380,1</w:t>
            </w:r>
          </w:p>
        </w:tc>
      </w:tr>
      <w:tr w:rsidR="00F1271F" w:rsidRPr="004C30D8" w14:paraId="51F007CB" w14:textId="77777777" w:rsidTr="2248451C">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21E9B006" w14:textId="77777777" w:rsidR="00F1271F" w:rsidRPr="004C30D8" w:rsidRDefault="2248451C" w:rsidP="2248451C">
            <w:pPr>
              <w:spacing w:after="0"/>
              <w:jc w:val="left"/>
              <w:rPr>
                <w:sz w:val="22"/>
                <w:szCs w:val="22"/>
              </w:rPr>
            </w:pPr>
            <w:r w:rsidRPr="2248451C">
              <w:rPr>
                <w:sz w:val="22"/>
                <w:szCs w:val="22"/>
              </w:rPr>
              <w:t> </w:t>
            </w:r>
          </w:p>
        </w:tc>
        <w:tc>
          <w:tcPr>
            <w:tcW w:w="340" w:type="dxa"/>
            <w:tcBorders>
              <w:top w:val="nil"/>
              <w:left w:val="nil"/>
              <w:bottom w:val="nil"/>
              <w:right w:val="nil"/>
            </w:tcBorders>
            <w:shd w:val="clear" w:color="auto" w:fill="FFFFFF" w:themeFill="background1"/>
            <w:noWrap/>
            <w:vAlign w:val="bottom"/>
            <w:hideMark/>
          </w:tcPr>
          <w:p w14:paraId="1D1288D5"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6B182520" w14:textId="77777777" w:rsidR="00F1271F" w:rsidRPr="004C30D8" w:rsidRDefault="2248451C" w:rsidP="2248451C">
            <w:pPr>
              <w:spacing w:after="0"/>
              <w:jc w:val="left"/>
              <w:rPr>
                <w:i/>
                <w:iCs/>
                <w:sz w:val="22"/>
                <w:szCs w:val="22"/>
              </w:rPr>
            </w:pPr>
            <w:r w:rsidRPr="2248451C">
              <w:rPr>
                <w:i/>
                <w:iCs/>
                <w:sz w:val="22"/>
                <w:szCs w:val="22"/>
              </w:rPr>
              <w:t>2.1.3. Kincstárjegyek kamata</w:t>
            </w:r>
          </w:p>
        </w:tc>
        <w:tc>
          <w:tcPr>
            <w:tcW w:w="1134" w:type="dxa"/>
            <w:tcBorders>
              <w:top w:val="nil"/>
              <w:left w:val="single" w:sz="4" w:space="0" w:color="auto"/>
              <w:bottom w:val="nil"/>
              <w:right w:val="single" w:sz="4" w:space="0" w:color="auto"/>
            </w:tcBorders>
            <w:shd w:val="clear" w:color="auto" w:fill="auto"/>
            <w:noWrap/>
            <w:vAlign w:val="bottom"/>
          </w:tcPr>
          <w:p w14:paraId="18551CFC" w14:textId="6B3130C7" w:rsidR="00F1271F" w:rsidRPr="004C30D8" w:rsidRDefault="2248451C" w:rsidP="2248451C">
            <w:pPr>
              <w:spacing w:after="0"/>
              <w:jc w:val="right"/>
              <w:rPr>
                <w:i/>
                <w:iCs/>
                <w:sz w:val="22"/>
                <w:szCs w:val="22"/>
              </w:rPr>
            </w:pPr>
            <w:r w:rsidRPr="2248451C">
              <w:rPr>
                <w:i/>
                <w:iCs/>
                <w:sz w:val="22"/>
                <w:szCs w:val="22"/>
              </w:rPr>
              <w:t>46,4</w:t>
            </w:r>
          </w:p>
        </w:tc>
        <w:tc>
          <w:tcPr>
            <w:tcW w:w="1110" w:type="dxa"/>
            <w:tcBorders>
              <w:top w:val="nil"/>
              <w:left w:val="nil"/>
              <w:bottom w:val="nil"/>
              <w:right w:val="single" w:sz="4" w:space="0" w:color="auto"/>
            </w:tcBorders>
            <w:shd w:val="clear" w:color="auto" w:fill="auto"/>
            <w:noWrap/>
            <w:vAlign w:val="bottom"/>
          </w:tcPr>
          <w:p w14:paraId="1445B9A7" w14:textId="41E08F0B" w:rsidR="00F1271F" w:rsidRPr="004C30D8" w:rsidRDefault="2248451C" w:rsidP="2248451C">
            <w:pPr>
              <w:spacing w:after="0"/>
              <w:jc w:val="right"/>
              <w:rPr>
                <w:i/>
                <w:iCs/>
                <w:sz w:val="22"/>
                <w:szCs w:val="22"/>
              </w:rPr>
            </w:pPr>
            <w:r w:rsidRPr="2248451C">
              <w:rPr>
                <w:i/>
                <w:iCs/>
                <w:sz w:val="22"/>
                <w:szCs w:val="22"/>
              </w:rPr>
              <w:t>49,3</w:t>
            </w:r>
          </w:p>
        </w:tc>
      </w:tr>
      <w:tr w:rsidR="00F1271F" w:rsidRPr="004C30D8" w14:paraId="3B42D0AF" w14:textId="77777777" w:rsidTr="2248451C">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0067E592" w14:textId="77777777" w:rsidR="00F1271F" w:rsidRPr="004C30D8" w:rsidRDefault="2248451C" w:rsidP="2248451C">
            <w:pPr>
              <w:spacing w:after="0"/>
              <w:jc w:val="left"/>
              <w:rPr>
                <w:sz w:val="22"/>
                <w:szCs w:val="22"/>
              </w:rPr>
            </w:pPr>
            <w:r w:rsidRPr="2248451C">
              <w:rPr>
                <w:sz w:val="22"/>
                <w:szCs w:val="22"/>
              </w:rPr>
              <w:t> </w:t>
            </w:r>
          </w:p>
        </w:tc>
        <w:tc>
          <w:tcPr>
            <w:tcW w:w="340" w:type="dxa"/>
            <w:tcBorders>
              <w:top w:val="nil"/>
              <w:left w:val="nil"/>
              <w:bottom w:val="nil"/>
              <w:right w:val="nil"/>
            </w:tcBorders>
            <w:shd w:val="clear" w:color="auto" w:fill="FFFFFF" w:themeFill="background1"/>
            <w:noWrap/>
            <w:vAlign w:val="bottom"/>
            <w:hideMark/>
          </w:tcPr>
          <w:p w14:paraId="2CDEB7F4"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7743E208" w14:textId="77777777" w:rsidR="00F1271F" w:rsidRPr="004C30D8" w:rsidRDefault="2248451C" w:rsidP="2248451C">
            <w:pPr>
              <w:spacing w:after="0"/>
              <w:jc w:val="left"/>
              <w:rPr>
                <w:i/>
                <w:iCs/>
                <w:sz w:val="22"/>
                <w:szCs w:val="22"/>
              </w:rPr>
            </w:pPr>
            <w:r w:rsidRPr="2248451C">
              <w:rPr>
                <w:i/>
                <w:iCs/>
                <w:sz w:val="22"/>
                <w:szCs w:val="22"/>
              </w:rPr>
              <w:t>2.1.4. Repóügyletek kamata</w:t>
            </w:r>
          </w:p>
        </w:tc>
        <w:tc>
          <w:tcPr>
            <w:tcW w:w="1134" w:type="dxa"/>
            <w:tcBorders>
              <w:top w:val="nil"/>
              <w:left w:val="single" w:sz="4" w:space="0" w:color="auto"/>
              <w:bottom w:val="nil"/>
              <w:right w:val="single" w:sz="4" w:space="0" w:color="auto"/>
            </w:tcBorders>
            <w:shd w:val="clear" w:color="auto" w:fill="auto"/>
            <w:noWrap/>
            <w:vAlign w:val="bottom"/>
          </w:tcPr>
          <w:p w14:paraId="024345B2" w14:textId="2E796790" w:rsidR="00F1271F" w:rsidRPr="004C30D8" w:rsidRDefault="2248451C" w:rsidP="2248451C">
            <w:pPr>
              <w:spacing w:after="0"/>
              <w:jc w:val="right"/>
              <w:rPr>
                <w:i/>
                <w:iCs/>
                <w:sz w:val="22"/>
                <w:szCs w:val="22"/>
              </w:rPr>
            </w:pPr>
            <w:r w:rsidRPr="2248451C">
              <w:rPr>
                <w:i/>
                <w:iCs/>
                <w:sz w:val="22"/>
                <w:szCs w:val="22"/>
              </w:rPr>
              <w:t>0,0</w:t>
            </w:r>
          </w:p>
        </w:tc>
        <w:tc>
          <w:tcPr>
            <w:tcW w:w="1110" w:type="dxa"/>
            <w:tcBorders>
              <w:top w:val="nil"/>
              <w:left w:val="nil"/>
              <w:bottom w:val="nil"/>
              <w:right w:val="single" w:sz="4" w:space="0" w:color="auto"/>
            </w:tcBorders>
            <w:shd w:val="clear" w:color="auto" w:fill="auto"/>
            <w:noWrap/>
            <w:vAlign w:val="bottom"/>
          </w:tcPr>
          <w:p w14:paraId="69D569A5" w14:textId="0790BE03" w:rsidR="00F1271F" w:rsidRPr="004C30D8" w:rsidRDefault="2248451C" w:rsidP="2248451C">
            <w:pPr>
              <w:spacing w:after="0"/>
              <w:jc w:val="right"/>
              <w:rPr>
                <w:i/>
                <w:iCs/>
                <w:sz w:val="22"/>
                <w:szCs w:val="22"/>
              </w:rPr>
            </w:pPr>
            <w:r w:rsidRPr="2248451C">
              <w:rPr>
                <w:i/>
                <w:iCs/>
                <w:sz w:val="22"/>
                <w:szCs w:val="22"/>
              </w:rPr>
              <w:t>0,0</w:t>
            </w:r>
          </w:p>
        </w:tc>
      </w:tr>
      <w:tr w:rsidR="00F1271F" w:rsidRPr="004C30D8" w14:paraId="3CDF4154" w14:textId="77777777" w:rsidTr="2248451C">
        <w:trPr>
          <w:trHeight w:val="300"/>
          <w:jc w:val="center"/>
        </w:trPr>
        <w:tc>
          <w:tcPr>
            <w:tcW w:w="195" w:type="dxa"/>
            <w:tcBorders>
              <w:top w:val="nil"/>
              <w:left w:val="single" w:sz="4" w:space="0" w:color="auto"/>
              <w:bottom w:val="single" w:sz="4" w:space="0" w:color="auto"/>
              <w:right w:val="nil"/>
            </w:tcBorders>
            <w:shd w:val="clear" w:color="auto" w:fill="FFFFFF" w:themeFill="background1"/>
            <w:noWrap/>
            <w:vAlign w:val="bottom"/>
            <w:hideMark/>
          </w:tcPr>
          <w:p w14:paraId="0D4CB014" w14:textId="77777777" w:rsidR="00F1271F" w:rsidRPr="004C30D8" w:rsidRDefault="2248451C" w:rsidP="2248451C">
            <w:pPr>
              <w:spacing w:after="0"/>
              <w:jc w:val="left"/>
              <w:rPr>
                <w:sz w:val="22"/>
                <w:szCs w:val="22"/>
              </w:rPr>
            </w:pPr>
            <w:r w:rsidRPr="2248451C">
              <w:rPr>
                <w:sz w:val="22"/>
                <w:szCs w:val="22"/>
              </w:rPr>
              <w:t> </w:t>
            </w:r>
          </w:p>
        </w:tc>
        <w:tc>
          <w:tcPr>
            <w:tcW w:w="340" w:type="dxa"/>
            <w:tcBorders>
              <w:top w:val="nil"/>
              <w:left w:val="nil"/>
              <w:bottom w:val="single" w:sz="4" w:space="0" w:color="auto"/>
              <w:right w:val="nil"/>
            </w:tcBorders>
            <w:shd w:val="clear" w:color="auto" w:fill="FFFFFF" w:themeFill="background1"/>
            <w:noWrap/>
            <w:vAlign w:val="bottom"/>
            <w:hideMark/>
          </w:tcPr>
          <w:p w14:paraId="520BB553"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nil"/>
              <w:left w:val="nil"/>
              <w:bottom w:val="single" w:sz="4" w:space="0" w:color="auto"/>
              <w:right w:val="single" w:sz="4" w:space="0" w:color="auto"/>
            </w:tcBorders>
            <w:shd w:val="clear" w:color="auto" w:fill="FFFFFF" w:themeFill="background1"/>
            <w:noWrap/>
            <w:vAlign w:val="bottom"/>
            <w:hideMark/>
          </w:tcPr>
          <w:p w14:paraId="263804A0" w14:textId="77777777" w:rsidR="00F1271F" w:rsidRPr="004C30D8" w:rsidRDefault="2248451C" w:rsidP="2248451C">
            <w:pPr>
              <w:spacing w:after="0"/>
              <w:jc w:val="left"/>
              <w:rPr>
                <w:i/>
                <w:iCs/>
                <w:sz w:val="22"/>
                <w:szCs w:val="22"/>
              </w:rPr>
            </w:pPr>
            <w:r w:rsidRPr="2248451C">
              <w:rPr>
                <w:i/>
                <w:iCs/>
                <w:sz w:val="22"/>
                <w:szCs w:val="22"/>
              </w:rPr>
              <w:t>2.1.5. Egyéb függő tételek</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E162EF0" w14:textId="70C3877C" w:rsidR="00F1271F" w:rsidRPr="004C30D8" w:rsidRDefault="2248451C" w:rsidP="2248451C">
            <w:pPr>
              <w:spacing w:after="0"/>
              <w:jc w:val="right"/>
              <w:rPr>
                <w:i/>
                <w:iCs/>
                <w:sz w:val="22"/>
                <w:szCs w:val="22"/>
              </w:rPr>
            </w:pPr>
            <w:r w:rsidRPr="2248451C">
              <w:rPr>
                <w:i/>
                <w:iCs/>
                <w:sz w:val="22"/>
                <w:szCs w:val="22"/>
              </w:rPr>
              <w:t>0,0</w:t>
            </w:r>
          </w:p>
        </w:tc>
        <w:tc>
          <w:tcPr>
            <w:tcW w:w="1110" w:type="dxa"/>
            <w:tcBorders>
              <w:top w:val="nil"/>
              <w:left w:val="nil"/>
              <w:bottom w:val="single" w:sz="4" w:space="0" w:color="auto"/>
              <w:right w:val="single" w:sz="4" w:space="0" w:color="auto"/>
            </w:tcBorders>
            <w:shd w:val="clear" w:color="auto" w:fill="auto"/>
            <w:noWrap/>
            <w:vAlign w:val="bottom"/>
          </w:tcPr>
          <w:p w14:paraId="44138B99" w14:textId="438FC0FB" w:rsidR="00F1271F" w:rsidRPr="004C30D8" w:rsidRDefault="2248451C" w:rsidP="2248451C">
            <w:pPr>
              <w:spacing w:after="0"/>
              <w:jc w:val="right"/>
              <w:rPr>
                <w:i/>
                <w:iCs/>
                <w:sz w:val="22"/>
                <w:szCs w:val="22"/>
              </w:rPr>
            </w:pPr>
            <w:r w:rsidRPr="2248451C">
              <w:rPr>
                <w:i/>
                <w:iCs/>
                <w:sz w:val="22"/>
                <w:szCs w:val="22"/>
              </w:rPr>
              <w:t>0,0</w:t>
            </w:r>
          </w:p>
        </w:tc>
      </w:tr>
      <w:tr w:rsidR="00F1271F" w:rsidRPr="004C30D8" w14:paraId="3E05B15A" w14:textId="77777777" w:rsidTr="2248451C">
        <w:trPr>
          <w:trHeight w:val="300"/>
          <w:jc w:val="center"/>
        </w:trPr>
        <w:tc>
          <w:tcPr>
            <w:tcW w:w="195" w:type="dxa"/>
            <w:tcBorders>
              <w:top w:val="nil"/>
              <w:left w:val="single" w:sz="4" w:space="0" w:color="auto"/>
              <w:bottom w:val="single" w:sz="4" w:space="0" w:color="auto"/>
              <w:right w:val="nil"/>
            </w:tcBorders>
            <w:shd w:val="clear" w:color="auto" w:fill="FFFFFF" w:themeFill="background1"/>
            <w:noWrap/>
            <w:vAlign w:val="bottom"/>
            <w:hideMark/>
          </w:tcPr>
          <w:p w14:paraId="5BD9F7B3" w14:textId="77777777" w:rsidR="00F1271F" w:rsidRPr="004C30D8" w:rsidRDefault="2248451C" w:rsidP="2248451C">
            <w:pPr>
              <w:spacing w:after="0"/>
              <w:jc w:val="left"/>
              <w:rPr>
                <w:sz w:val="22"/>
                <w:szCs w:val="22"/>
              </w:rPr>
            </w:pPr>
            <w:r w:rsidRPr="2248451C">
              <w:rPr>
                <w:sz w:val="22"/>
                <w:szCs w:val="22"/>
              </w:rPr>
              <w:t> </w:t>
            </w:r>
          </w:p>
        </w:tc>
        <w:tc>
          <w:tcPr>
            <w:tcW w:w="4532"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5400731B" w14:textId="77777777" w:rsidR="00F1271F" w:rsidRPr="004C30D8" w:rsidRDefault="2248451C" w:rsidP="2248451C">
            <w:pPr>
              <w:spacing w:after="0"/>
              <w:jc w:val="left"/>
              <w:rPr>
                <w:b/>
                <w:bCs/>
                <w:sz w:val="22"/>
                <w:szCs w:val="22"/>
              </w:rPr>
            </w:pPr>
            <w:r w:rsidRPr="2248451C">
              <w:rPr>
                <w:b/>
                <w:bCs/>
                <w:sz w:val="22"/>
                <w:szCs w:val="22"/>
              </w:rPr>
              <w:t>2.2. Deviza</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304CADEC" w14:textId="779E9A44" w:rsidR="00F1271F" w:rsidRPr="004C30D8" w:rsidRDefault="2248451C" w:rsidP="2248451C">
            <w:pPr>
              <w:spacing w:after="0"/>
              <w:jc w:val="right"/>
              <w:rPr>
                <w:b/>
                <w:bCs/>
                <w:sz w:val="22"/>
                <w:szCs w:val="22"/>
              </w:rPr>
            </w:pPr>
            <w:r w:rsidRPr="2248451C">
              <w:rPr>
                <w:b/>
                <w:bCs/>
                <w:sz w:val="22"/>
                <w:szCs w:val="22"/>
              </w:rPr>
              <w:t>103,5</w:t>
            </w:r>
          </w:p>
        </w:tc>
        <w:tc>
          <w:tcPr>
            <w:tcW w:w="1110" w:type="dxa"/>
            <w:tcBorders>
              <w:top w:val="nil"/>
              <w:left w:val="nil"/>
              <w:bottom w:val="single" w:sz="4" w:space="0" w:color="auto"/>
              <w:right w:val="single" w:sz="4" w:space="0" w:color="auto"/>
            </w:tcBorders>
            <w:shd w:val="clear" w:color="auto" w:fill="auto"/>
            <w:noWrap/>
            <w:vAlign w:val="bottom"/>
          </w:tcPr>
          <w:p w14:paraId="08B90BC8" w14:textId="19AD1391" w:rsidR="00F1271F" w:rsidRPr="004C30D8" w:rsidRDefault="2248451C" w:rsidP="2248451C">
            <w:pPr>
              <w:spacing w:after="0"/>
              <w:jc w:val="right"/>
              <w:rPr>
                <w:b/>
                <w:bCs/>
                <w:sz w:val="22"/>
                <w:szCs w:val="22"/>
              </w:rPr>
            </w:pPr>
            <w:r w:rsidRPr="2248451C">
              <w:rPr>
                <w:b/>
                <w:bCs/>
                <w:sz w:val="22"/>
                <w:szCs w:val="22"/>
              </w:rPr>
              <w:t>130,8</w:t>
            </w:r>
          </w:p>
        </w:tc>
      </w:tr>
      <w:tr w:rsidR="00F1271F" w:rsidRPr="004C30D8" w14:paraId="3DD0AB63" w14:textId="77777777" w:rsidTr="2248451C">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7B719E49" w14:textId="77777777" w:rsidR="00F1271F" w:rsidRPr="004C30D8" w:rsidRDefault="2248451C" w:rsidP="2248451C">
            <w:pPr>
              <w:spacing w:after="0"/>
              <w:jc w:val="left"/>
              <w:rPr>
                <w:sz w:val="22"/>
                <w:szCs w:val="22"/>
              </w:rPr>
            </w:pPr>
            <w:r w:rsidRPr="2248451C">
              <w:rPr>
                <w:sz w:val="22"/>
                <w:szCs w:val="22"/>
              </w:rPr>
              <w:t> </w:t>
            </w:r>
          </w:p>
        </w:tc>
        <w:tc>
          <w:tcPr>
            <w:tcW w:w="340" w:type="dxa"/>
            <w:tcBorders>
              <w:top w:val="nil"/>
              <w:left w:val="nil"/>
              <w:bottom w:val="nil"/>
              <w:right w:val="nil"/>
            </w:tcBorders>
            <w:shd w:val="clear" w:color="auto" w:fill="FFFFFF" w:themeFill="background1"/>
            <w:noWrap/>
            <w:vAlign w:val="bottom"/>
            <w:hideMark/>
          </w:tcPr>
          <w:p w14:paraId="50D2597E"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30C02418" w14:textId="77777777" w:rsidR="00F1271F" w:rsidRPr="004C30D8" w:rsidRDefault="2248451C" w:rsidP="2248451C">
            <w:pPr>
              <w:spacing w:after="0"/>
              <w:jc w:val="left"/>
              <w:rPr>
                <w:i/>
                <w:iCs/>
                <w:sz w:val="22"/>
                <w:szCs w:val="22"/>
              </w:rPr>
            </w:pPr>
            <w:r w:rsidRPr="2248451C">
              <w:rPr>
                <w:i/>
                <w:iCs/>
                <w:sz w:val="22"/>
                <w:szCs w:val="22"/>
              </w:rPr>
              <w:t>2.2.1. Devizahitelek kamata</w:t>
            </w:r>
          </w:p>
        </w:tc>
        <w:tc>
          <w:tcPr>
            <w:tcW w:w="1134" w:type="dxa"/>
            <w:tcBorders>
              <w:top w:val="nil"/>
              <w:left w:val="single" w:sz="4" w:space="0" w:color="auto"/>
              <w:bottom w:val="nil"/>
              <w:right w:val="single" w:sz="4" w:space="0" w:color="auto"/>
            </w:tcBorders>
            <w:shd w:val="clear" w:color="auto" w:fill="auto"/>
            <w:noWrap/>
            <w:vAlign w:val="bottom"/>
          </w:tcPr>
          <w:p w14:paraId="56358715" w14:textId="1BE88821" w:rsidR="00F1271F" w:rsidRPr="004C30D8" w:rsidRDefault="2248451C" w:rsidP="2248451C">
            <w:pPr>
              <w:spacing w:after="0"/>
              <w:jc w:val="right"/>
              <w:rPr>
                <w:i/>
                <w:iCs/>
                <w:sz w:val="22"/>
                <w:szCs w:val="22"/>
              </w:rPr>
            </w:pPr>
            <w:r w:rsidRPr="2248451C">
              <w:rPr>
                <w:i/>
                <w:iCs/>
                <w:sz w:val="22"/>
                <w:szCs w:val="22"/>
              </w:rPr>
              <w:t>6,9</w:t>
            </w:r>
          </w:p>
        </w:tc>
        <w:tc>
          <w:tcPr>
            <w:tcW w:w="1110" w:type="dxa"/>
            <w:tcBorders>
              <w:top w:val="nil"/>
              <w:left w:val="nil"/>
              <w:bottom w:val="nil"/>
              <w:right w:val="single" w:sz="4" w:space="0" w:color="auto"/>
            </w:tcBorders>
            <w:shd w:val="clear" w:color="auto" w:fill="auto"/>
            <w:noWrap/>
            <w:vAlign w:val="bottom"/>
          </w:tcPr>
          <w:p w14:paraId="5E8C0CB7" w14:textId="1FC67CAC" w:rsidR="00F1271F" w:rsidRPr="004C30D8" w:rsidRDefault="2248451C" w:rsidP="2248451C">
            <w:pPr>
              <w:spacing w:after="0"/>
              <w:jc w:val="right"/>
              <w:rPr>
                <w:i/>
                <w:iCs/>
                <w:sz w:val="22"/>
                <w:szCs w:val="22"/>
              </w:rPr>
            </w:pPr>
            <w:r w:rsidRPr="2248451C">
              <w:rPr>
                <w:i/>
                <w:iCs/>
                <w:sz w:val="22"/>
                <w:szCs w:val="22"/>
              </w:rPr>
              <w:t>8,1</w:t>
            </w:r>
          </w:p>
        </w:tc>
      </w:tr>
      <w:tr w:rsidR="00F1271F" w:rsidRPr="004C30D8" w14:paraId="127E54F2" w14:textId="77777777" w:rsidTr="2248451C">
        <w:trPr>
          <w:trHeight w:val="300"/>
          <w:jc w:val="center"/>
        </w:trPr>
        <w:tc>
          <w:tcPr>
            <w:tcW w:w="195" w:type="dxa"/>
            <w:tcBorders>
              <w:top w:val="nil"/>
              <w:left w:val="single" w:sz="4" w:space="0" w:color="auto"/>
              <w:bottom w:val="nil"/>
              <w:right w:val="nil"/>
            </w:tcBorders>
            <w:shd w:val="clear" w:color="auto" w:fill="FFFFFF" w:themeFill="background1"/>
            <w:noWrap/>
            <w:vAlign w:val="bottom"/>
            <w:hideMark/>
          </w:tcPr>
          <w:p w14:paraId="094BC5D1" w14:textId="77777777" w:rsidR="00F1271F" w:rsidRPr="004C30D8" w:rsidRDefault="2248451C" w:rsidP="2248451C">
            <w:pPr>
              <w:spacing w:after="0"/>
              <w:jc w:val="left"/>
              <w:rPr>
                <w:sz w:val="22"/>
                <w:szCs w:val="22"/>
              </w:rPr>
            </w:pPr>
            <w:r w:rsidRPr="2248451C">
              <w:rPr>
                <w:sz w:val="22"/>
                <w:szCs w:val="22"/>
              </w:rPr>
              <w:t> </w:t>
            </w:r>
          </w:p>
        </w:tc>
        <w:tc>
          <w:tcPr>
            <w:tcW w:w="340" w:type="dxa"/>
            <w:tcBorders>
              <w:top w:val="nil"/>
              <w:left w:val="nil"/>
              <w:bottom w:val="nil"/>
              <w:right w:val="nil"/>
            </w:tcBorders>
            <w:shd w:val="clear" w:color="auto" w:fill="FFFFFF" w:themeFill="background1"/>
            <w:noWrap/>
            <w:vAlign w:val="bottom"/>
            <w:hideMark/>
          </w:tcPr>
          <w:p w14:paraId="3AF09607"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nil"/>
              <w:left w:val="nil"/>
              <w:bottom w:val="nil"/>
              <w:right w:val="single" w:sz="4" w:space="0" w:color="auto"/>
            </w:tcBorders>
            <w:shd w:val="clear" w:color="auto" w:fill="FFFFFF" w:themeFill="background1"/>
            <w:noWrap/>
            <w:vAlign w:val="bottom"/>
            <w:hideMark/>
          </w:tcPr>
          <w:p w14:paraId="3AB85FBD" w14:textId="77777777" w:rsidR="00F1271F" w:rsidRPr="004C30D8" w:rsidRDefault="2248451C" w:rsidP="2248451C">
            <w:pPr>
              <w:spacing w:after="0"/>
              <w:jc w:val="left"/>
              <w:rPr>
                <w:i/>
                <w:iCs/>
                <w:sz w:val="22"/>
                <w:szCs w:val="22"/>
              </w:rPr>
            </w:pPr>
            <w:r w:rsidRPr="2248451C">
              <w:rPr>
                <w:i/>
                <w:iCs/>
                <w:sz w:val="22"/>
                <w:szCs w:val="22"/>
              </w:rPr>
              <w:t>2.2.2. Devizakötvények kamata</w:t>
            </w:r>
          </w:p>
        </w:tc>
        <w:tc>
          <w:tcPr>
            <w:tcW w:w="1134" w:type="dxa"/>
            <w:tcBorders>
              <w:top w:val="nil"/>
              <w:left w:val="single" w:sz="4" w:space="0" w:color="auto"/>
              <w:bottom w:val="nil"/>
              <w:right w:val="single" w:sz="4" w:space="0" w:color="auto"/>
            </w:tcBorders>
            <w:shd w:val="clear" w:color="auto" w:fill="auto"/>
            <w:noWrap/>
            <w:vAlign w:val="bottom"/>
          </w:tcPr>
          <w:p w14:paraId="4E3D9D4B" w14:textId="7CA7304B" w:rsidR="00F1271F" w:rsidRPr="004C30D8" w:rsidRDefault="2248451C" w:rsidP="2248451C">
            <w:pPr>
              <w:spacing w:after="0"/>
              <w:jc w:val="right"/>
              <w:rPr>
                <w:i/>
                <w:iCs/>
                <w:sz w:val="22"/>
                <w:szCs w:val="22"/>
              </w:rPr>
            </w:pPr>
            <w:r w:rsidRPr="2248451C">
              <w:rPr>
                <w:i/>
                <w:iCs/>
                <w:sz w:val="22"/>
                <w:szCs w:val="22"/>
              </w:rPr>
              <w:t>96,6</w:t>
            </w:r>
          </w:p>
        </w:tc>
        <w:tc>
          <w:tcPr>
            <w:tcW w:w="1110" w:type="dxa"/>
            <w:tcBorders>
              <w:top w:val="nil"/>
              <w:left w:val="nil"/>
              <w:bottom w:val="nil"/>
              <w:right w:val="single" w:sz="4" w:space="0" w:color="auto"/>
            </w:tcBorders>
            <w:shd w:val="clear" w:color="auto" w:fill="auto"/>
            <w:noWrap/>
            <w:vAlign w:val="bottom"/>
          </w:tcPr>
          <w:p w14:paraId="2CC81299" w14:textId="712B0007" w:rsidR="00F1271F" w:rsidRPr="004C30D8" w:rsidRDefault="2248451C" w:rsidP="2248451C">
            <w:pPr>
              <w:spacing w:after="0"/>
              <w:jc w:val="right"/>
              <w:rPr>
                <w:i/>
                <w:iCs/>
                <w:sz w:val="22"/>
                <w:szCs w:val="22"/>
              </w:rPr>
            </w:pPr>
            <w:r w:rsidRPr="2248451C">
              <w:rPr>
                <w:i/>
                <w:iCs/>
                <w:sz w:val="22"/>
                <w:szCs w:val="22"/>
              </w:rPr>
              <w:t>122,7</w:t>
            </w:r>
          </w:p>
        </w:tc>
      </w:tr>
      <w:tr w:rsidR="00F1271F" w:rsidRPr="004C30D8" w14:paraId="123C030E" w14:textId="77777777" w:rsidTr="2248451C">
        <w:trPr>
          <w:trHeight w:val="300"/>
          <w:jc w:val="center"/>
        </w:trPr>
        <w:tc>
          <w:tcPr>
            <w:tcW w:w="195"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138D87D5" w14:textId="77777777" w:rsidR="00F1271F" w:rsidRPr="004C30D8" w:rsidRDefault="2248451C" w:rsidP="2248451C">
            <w:pPr>
              <w:spacing w:after="0"/>
              <w:jc w:val="left"/>
              <w:rPr>
                <w:sz w:val="22"/>
                <w:szCs w:val="22"/>
              </w:rPr>
            </w:pPr>
            <w:r w:rsidRPr="2248451C">
              <w:rPr>
                <w:sz w:val="22"/>
                <w:szCs w:val="22"/>
              </w:rPr>
              <w:t> </w:t>
            </w:r>
          </w:p>
        </w:tc>
        <w:tc>
          <w:tcPr>
            <w:tcW w:w="340" w:type="dxa"/>
            <w:tcBorders>
              <w:top w:val="single" w:sz="4" w:space="0" w:color="auto"/>
              <w:left w:val="nil"/>
              <w:bottom w:val="single" w:sz="4" w:space="0" w:color="auto"/>
              <w:right w:val="nil"/>
            </w:tcBorders>
            <w:shd w:val="clear" w:color="auto" w:fill="FFFFFF" w:themeFill="background1"/>
            <w:noWrap/>
            <w:vAlign w:val="bottom"/>
            <w:hideMark/>
          </w:tcPr>
          <w:p w14:paraId="37A0A788" w14:textId="77777777" w:rsidR="00F1271F" w:rsidRPr="004C30D8" w:rsidRDefault="2248451C" w:rsidP="2248451C">
            <w:pPr>
              <w:spacing w:after="0"/>
              <w:jc w:val="left"/>
              <w:rPr>
                <w:sz w:val="22"/>
                <w:szCs w:val="22"/>
              </w:rPr>
            </w:pPr>
            <w:r w:rsidRPr="2248451C">
              <w:rPr>
                <w:sz w:val="22"/>
                <w:szCs w:val="22"/>
              </w:rPr>
              <w:t> </w:t>
            </w:r>
          </w:p>
        </w:tc>
        <w:tc>
          <w:tcPr>
            <w:tcW w:w="41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947EC3E" w14:textId="77777777" w:rsidR="00F1271F" w:rsidRPr="004C30D8" w:rsidRDefault="2248451C" w:rsidP="2248451C">
            <w:pPr>
              <w:spacing w:after="0"/>
              <w:jc w:val="left"/>
              <w:rPr>
                <w:sz w:val="22"/>
                <w:szCs w:val="22"/>
              </w:rPr>
            </w:pPr>
            <w:r w:rsidRPr="2248451C">
              <w:rPr>
                <w:sz w:val="22"/>
                <w:szCs w:val="22"/>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EC636" w14:textId="6D850F3C" w:rsidR="00F1271F" w:rsidRPr="004C30D8" w:rsidRDefault="00F1271F" w:rsidP="27083F14">
            <w:pPr>
              <w:spacing w:after="0"/>
              <w:jc w:val="left"/>
              <w:rPr>
                <w:sz w:val="22"/>
                <w:szCs w:val="22"/>
              </w:rPr>
            </w:pPr>
          </w:p>
        </w:tc>
        <w:tc>
          <w:tcPr>
            <w:tcW w:w="1110" w:type="dxa"/>
            <w:tcBorders>
              <w:top w:val="single" w:sz="4" w:space="0" w:color="auto"/>
              <w:left w:val="nil"/>
              <w:bottom w:val="single" w:sz="4" w:space="0" w:color="auto"/>
              <w:right w:val="single" w:sz="4" w:space="0" w:color="auto"/>
            </w:tcBorders>
            <w:shd w:val="clear" w:color="auto" w:fill="auto"/>
            <w:noWrap/>
            <w:vAlign w:val="bottom"/>
          </w:tcPr>
          <w:p w14:paraId="4E46EE97" w14:textId="1795EBD5" w:rsidR="00F1271F" w:rsidRPr="004C30D8" w:rsidRDefault="00F1271F" w:rsidP="27083F14">
            <w:pPr>
              <w:spacing w:after="0"/>
              <w:jc w:val="left"/>
              <w:rPr>
                <w:sz w:val="22"/>
                <w:szCs w:val="22"/>
              </w:rPr>
            </w:pPr>
          </w:p>
        </w:tc>
      </w:tr>
      <w:tr w:rsidR="00F1271F" w:rsidRPr="004C30D8" w14:paraId="18498B80" w14:textId="77777777" w:rsidTr="2248451C">
        <w:trPr>
          <w:trHeight w:val="285"/>
          <w:jc w:val="center"/>
        </w:trPr>
        <w:tc>
          <w:tcPr>
            <w:tcW w:w="4727" w:type="dxa"/>
            <w:gridSpan w:val="3"/>
            <w:tcBorders>
              <w:top w:val="nil"/>
              <w:left w:val="single" w:sz="4" w:space="0" w:color="auto"/>
              <w:bottom w:val="single" w:sz="4" w:space="0" w:color="auto"/>
              <w:right w:val="single" w:sz="4" w:space="0" w:color="auto"/>
            </w:tcBorders>
            <w:shd w:val="clear" w:color="auto" w:fill="FFFFFF" w:themeFill="background1"/>
            <w:noWrap/>
            <w:vAlign w:val="center"/>
            <w:hideMark/>
          </w:tcPr>
          <w:p w14:paraId="234DEEA7" w14:textId="77777777" w:rsidR="00F1271F" w:rsidRPr="004C30D8" w:rsidRDefault="2248451C" w:rsidP="2248451C">
            <w:pPr>
              <w:spacing w:after="0"/>
              <w:jc w:val="left"/>
              <w:rPr>
                <w:b/>
                <w:bCs/>
                <w:sz w:val="22"/>
                <w:szCs w:val="22"/>
              </w:rPr>
            </w:pPr>
            <w:r w:rsidRPr="2248451C">
              <w:rPr>
                <w:b/>
                <w:bCs/>
                <w:sz w:val="22"/>
                <w:szCs w:val="22"/>
              </w:rPr>
              <w:t>3. Kamategyenleg</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FC949D7" w14:textId="605D5C4F" w:rsidR="00F1271F" w:rsidRPr="004C30D8" w:rsidRDefault="2248451C" w:rsidP="2248451C">
            <w:pPr>
              <w:spacing w:after="0"/>
              <w:jc w:val="right"/>
              <w:rPr>
                <w:b/>
                <w:bCs/>
                <w:sz w:val="22"/>
                <w:szCs w:val="22"/>
              </w:rPr>
            </w:pPr>
            <w:r w:rsidRPr="2248451C">
              <w:rPr>
                <w:b/>
                <w:bCs/>
                <w:sz w:val="22"/>
                <w:szCs w:val="22"/>
              </w:rPr>
              <w:t>380,8</w:t>
            </w:r>
          </w:p>
        </w:tc>
        <w:tc>
          <w:tcPr>
            <w:tcW w:w="1110" w:type="dxa"/>
            <w:tcBorders>
              <w:top w:val="nil"/>
              <w:left w:val="nil"/>
              <w:bottom w:val="single" w:sz="4" w:space="0" w:color="auto"/>
              <w:right w:val="single" w:sz="4" w:space="0" w:color="auto"/>
            </w:tcBorders>
            <w:shd w:val="clear" w:color="auto" w:fill="auto"/>
            <w:noWrap/>
            <w:vAlign w:val="center"/>
          </w:tcPr>
          <w:p w14:paraId="6822C0C1" w14:textId="583B7FC4" w:rsidR="00F1271F" w:rsidRPr="004C30D8" w:rsidRDefault="2248451C" w:rsidP="00261D48">
            <w:pPr>
              <w:spacing w:after="0"/>
              <w:jc w:val="right"/>
              <w:rPr>
                <w:b/>
                <w:bCs/>
                <w:sz w:val="22"/>
                <w:szCs w:val="22"/>
              </w:rPr>
            </w:pPr>
            <w:r w:rsidRPr="2248451C">
              <w:rPr>
                <w:b/>
                <w:bCs/>
                <w:sz w:val="22"/>
                <w:szCs w:val="22"/>
              </w:rPr>
              <w:t>474,</w:t>
            </w:r>
            <w:r w:rsidR="00261D48">
              <w:rPr>
                <w:b/>
                <w:bCs/>
                <w:sz w:val="22"/>
                <w:szCs w:val="22"/>
              </w:rPr>
              <w:t>3</w:t>
            </w:r>
          </w:p>
        </w:tc>
      </w:tr>
    </w:tbl>
    <w:p w14:paraId="5D4F03D9" w14:textId="07AF30E8" w:rsidR="00D52A69" w:rsidRPr="29F45AC7" w:rsidRDefault="00E4079D" w:rsidP="00D52A69">
      <w:pPr>
        <w:tabs>
          <w:tab w:val="left" w:pos="550"/>
        </w:tabs>
        <w:spacing w:before="120"/>
        <w:rPr>
          <w:caps/>
        </w:rPr>
      </w:pPr>
      <w:r w:rsidRPr="113728CE">
        <w:rPr>
          <w:caps/>
        </w:rPr>
        <w:br w:type="page"/>
      </w:r>
    </w:p>
    <w:p w14:paraId="5D4F0440" w14:textId="417C1316" w:rsidR="00B93477" w:rsidRDefault="2248451C" w:rsidP="2248451C">
      <w:pPr>
        <w:pStyle w:val="Cmsor4"/>
        <w:ind w:right="-1"/>
        <w:jc w:val="center"/>
        <w:rPr>
          <w:caps/>
        </w:rPr>
      </w:pPr>
      <w:r w:rsidRPr="2248451C">
        <w:rPr>
          <w:caps/>
        </w:rPr>
        <w:lastRenderedPageBreak/>
        <w:t>II.</w:t>
      </w:r>
      <w:r w:rsidR="6D01B43F">
        <w:br/>
      </w:r>
      <w:r w:rsidRPr="2248451C">
        <w:rPr>
          <w:caps/>
        </w:rPr>
        <w:t>Az államháztartás központi alrendszerének finanszírozása</w:t>
      </w:r>
    </w:p>
    <w:p w14:paraId="64D3034E" w14:textId="77777777" w:rsidR="00650CB3" w:rsidRPr="00650CB3" w:rsidRDefault="00650CB3" w:rsidP="00650CB3"/>
    <w:p w14:paraId="5D4F0441" w14:textId="77777777" w:rsidR="006E2559" w:rsidRDefault="2248451C" w:rsidP="27083F14">
      <w:pPr>
        <w:pStyle w:val="Cmsor4"/>
        <w:numPr>
          <w:ilvl w:val="0"/>
          <w:numId w:val="5"/>
        </w:numPr>
        <w:spacing w:before="120"/>
        <w:ind w:left="567" w:hanging="567"/>
      </w:pPr>
      <w:r>
        <w:t xml:space="preserve">Állományi adatok </w:t>
      </w:r>
    </w:p>
    <w:p w14:paraId="2C0CB1DA" w14:textId="3150EF34" w:rsidR="00197645" w:rsidRPr="00B3144E" w:rsidRDefault="2248451C" w:rsidP="00197645">
      <w:pPr>
        <w:spacing w:after="240"/>
        <w:ind w:right="23"/>
        <w:rPr>
          <w:bCs/>
          <w:szCs w:val="26"/>
        </w:rPr>
      </w:pPr>
      <w:r w:rsidRPr="2248451C">
        <w:rPr>
          <w:b/>
          <w:bCs/>
        </w:rPr>
        <w:t xml:space="preserve">A központi költségvetés adóssága </w:t>
      </w:r>
      <w:r>
        <w:t>2020. jú</w:t>
      </w:r>
      <w:r w:rsidR="00AC5FC2">
        <w:t>l</w:t>
      </w:r>
      <w:r>
        <w:t xml:space="preserve">ius végéig </w:t>
      </w:r>
      <w:r w:rsidR="00AC5FC2" w:rsidRPr="00AC5FC2">
        <w:t>2097,2</w:t>
      </w:r>
      <w:r w:rsidR="00320C22">
        <w:t> </w:t>
      </w:r>
      <w:r>
        <w:t xml:space="preserve">milliárd forinttal </w:t>
      </w:r>
      <w:r w:rsidRPr="2248451C">
        <w:rPr>
          <w:b/>
          <w:bCs/>
        </w:rPr>
        <w:t xml:space="preserve">növekedett </w:t>
      </w:r>
      <w:r>
        <w:t>a következő négy tényező eredményeképpen:</w:t>
      </w:r>
    </w:p>
    <w:p w14:paraId="7E0FC8AA" w14:textId="49E2AAEB" w:rsidR="00197645" w:rsidRPr="00AC5FC2" w:rsidRDefault="2248451C" w:rsidP="00320C22">
      <w:pPr>
        <w:pStyle w:val="Listaszerbekezds"/>
        <w:numPr>
          <w:ilvl w:val="0"/>
          <w:numId w:val="7"/>
        </w:numPr>
        <w:spacing w:before="120" w:after="240"/>
        <w:ind w:left="714" w:right="23" w:hanging="357"/>
        <w:jc w:val="both"/>
        <w:rPr>
          <w:b/>
          <w:bCs/>
        </w:rPr>
      </w:pPr>
      <w:r w:rsidRPr="00AC5FC2">
        <w:rPr>
          <w:rFonts w:ascii="Times New Roman" w:eastAsia="Times New Roman" w:hAnsi="Times New Roman"/>
          <w:b/>
          <w:bCs/>
          <w:sz w:val="26"/>
          <w:szCs w:val="26"/>
          <w:lang w:eastAsia="hu-HU"/>
        </w:rPr>
        <w:t>Az első tényező</w:t>
      </w:r>
      <w:r w:rsidR="00AC5FC2" w:rsidRPr="00AC5FC2">
        <w:rPr>
          <w:rFonts w:ascii="Times New Roman" w:hAnsi="Times New Roman"/>
          <w:sz w:val="26"/>
          <w:szCs w:val="26"/>
        </w:rPr>
        <w:t xml:space="preserve"> a </w:t>
      </w:r>
      <w:r w:rsidR="00AC5FC2" w:rsidRPr="00AC5FC2">
        <w:rPr>
          <w:rFonts w:ascii="Times New Roman" w:eastAsia="Times New Roman" w:hAnsi="Times New Roman"/>
          <w:sz w:val="26"/>
          <w:szCs w:val="26"/>
          <w:lang w:eastAsia="hu-HU"/>
        </w:rPr>
        <w:t>nettó forintkibocsátás 1419,2</w:t>
      </w:r>
      <w:r w:rsidR="00320C22">
        <w:rPr>
          <w:rFonts w:ascii="Times New Roman" w:eastAsia="Times New Roman" w:hAnsi="Times New Roman"/>
          <w:sz w:val="26"/>
          <w:szCs w:val="26"/>
          <w:lang w:eastAsia="hu-HU"/>
        </w:rPr>
        <w:t> </w:t>
      </w:r>
      <w:r w:rsidR="00AC5FC2" w:rsidRPr="00AC5FC2">
        <w:rPr>
          <w:rFonts w:ascii="Times New Roman" w:eastAsia="Times New Roman" w:hAnsi="Times New Roman"/>
          <w:sz w:val="26"/>
          <w:szCs w:val="26"/>
          <w:lang w:eastAsia="hu-HU"/>
        </w:rPr>
        <w:t>milliárd forint összegben, ami a költségvetés hiányát finanszírozza.</w:t>
      </w:r>
    </w:p>
    <w:p w14:paraId="3E92251C" w14:textId="0702B735" w:rsidR="00197645" w:rsidRPr="00B3144E" w:rsidRDefault="2248451C" w:rsidP="00AC5FC2">
      <w:pPr>
        <w:numPr>
          <w:ilvl w:val="0"/>
          <w:numId w:val="7"/>
        </w:numPr>
        <w:spacing w:before="120" w:after="240"/>
        <w:ind w:right="23"/>
        <w:rPr>
          <w:b/>
          <w:bCs/>
        </w:rPr>
      </w:pPr>
      <w:r w:rsidRPr="2248451C">
        <w:rPr>
          <w:b/>
          <w:bCs/>
        </w:rPr>
        <w:t xml:space="preserve">A második – növelő hatású – tényező </w:t>
      </w:r>
      <w:r>
        <w:t>a nettó devizakibocsátás,</w:t>
      </w:r>
      <w:r w:rsidR="00AC5FC2" w:rsidRPr="00AC5FC2">
        <w:t xml:space="preserve"> 488,6</w:t>
      </w:r>
      <w:r w:rsidR="00A81D89">
        <w:t> </w:t>
      </w:r>
      <w:r w:rsidR="00AC5FC2" w:rsidRPr="00AC5FC2">
        <w:t>milliárd forinttal n</w:t>
      </w:r>
      <w:r w:rsidR="00AC5FC2">
        <w:t>övelte a költségvetés adósságát</w:t>
      </w:r>
      <w:r>
        <w:t>.</w:t>
      </w:r>
    </w:p>
    <w:p w14:paraId="07A666B0" w14:textId="0BEFA99C" w:rsidR="00197645" w:rsidRPr="00B3144E" w:rsidRDefault="2248451C" w:rsidP="00AC5FC2">
      <w:pPr>
        <w:numPr>
          <w:ilvl w:val="0"/>
          <w:numId w:val="7"/>
        </w:numPr>
        <w:spacing w:before="120" w:after="240"/>
        <w:ind w:right="23"/>
      </w:pPr>
      <w:r w:rsidRPr="2248451C">
        <w:rPr>
          <w:b/>
          <w:bCs/>
        </w:rPr>
        <w:t>A harmadik – szintén növelő hatású – tényező</w:t>
      </w:r>
      <w:r w:rsidR="00AC5FC2">
        <w:rPr>
          <w:b/>
          <w:bCs/>
        </w:rPr>
        <w:t xml:space="preserve"> </w:t>
      </w:r>
      <w:r w:rsidR="00AC5FC2" w:rsidRPr="00AC5FC2">
        <w:rPr>
          <w:bCs/>
        </w:rPr>
        <w:t>a forint árfolyamának az elmúlt év végéhez képest bekövetkezett gyengülése, amely az adósság devizában fennálló részének forintban számított nyilvántartási értékét 184,4</w:t>
      </w:r>
      <w:r w:rsidR="00A81D89">
        <w:rPr>
          <w:bCs/>
        </w:rPr>
        <w:t> </w:t>
      </w:r>
      <w:r w:rsidR="00AC5FC2" w:rsidRPr="00AC5FC2">
        <w:rPr>
          <w:bCs/>
        </w:rPr>
        <w:t>milliárd forinttal növelte</w:t>
      </w:r>
      <w:r w:rsidRPr="00AC5FC2">
        <w:t>.</w:t>
      </w:r>
    </w:p>
    <w:p w14:paraId="509339C9" w14:textId="10FA21AB" w:rsidR="00427794" w:rsidRPr="00AC5FC2" w:rsidRDefault="2248451C" w:rsidP="00AC5FC2">
      <w:pPr>
        <w:numPr>
          <w:ilvl w:val="0"/>
          <w:numId w:val="7"/>
        </w:numPr>
        <w:spacing w:before="120" w:after="240"/>
        <w:ind w:right="23"/>
        <w:rPr>
          <w:bCs/>
        </w:rPr>
        <w:sectPr w:rsidR="00427794" w:rsidRPr="00AC5FC2" w:rsidSect="00D46179">
          <w:headerReference w:type="default" r:id="rId25"/>
          <w:headerReference w:type="first" r:id="rId26"/>
          <w:footnotePr>
            <w:numRestart w:val="eachPage"/>
          </w:footnotePr>
          <w:pgSz w:w="11907" w:h="16840" w:code="9"/>
          <w:pgMar w:top="1134" w:right="1134" w:bottom="1418" w:left="1418" w:header="709" w:footer="709" w:gutter="0"/>
          <w:pgNumType w:start="1"/>
          <w:cols w:space="708"/>
          <w:docGrid w:linePitch="354"/>
        </w:sectPr>
      </w:pPr>
      <w:r w:rsidRPr="2248451C">
        <w:rPr>
          <w:b/>
          <w:bCs/>
        </w:rPr>
        <w:t xml:space="preserve">A negyedik – további növelő hatású – </w:t>
      </w:r>
      <w:r w:rsidRPr="00AC5FC2">
        <w:rPr>
          <w:bCs/>
        </w:rPr>
        <w:t>tényező</w:t>
      </w:r>
      <w:r w:rsidR="00AC5FC2" w:rsidRPr="00AC5FC2">
        <w:rPr>
          <w:bCs/>
        </w:rPr>
        <w:t xml:space="preserve"> a deviza-keresztárfolyamok változása és egyéb tényezők miatt bekövetkezett mark-to-market betétállományok növekedése</w:t>
      </w:r>
      <w:r w:rsidR="00AC5FC2">
        <w:rPr>
          <w:bCs/>
        </w:rPr>
        <w:t xml:space="preserve"> </w:t>
      </w:r>
      <w:r w:rsidR="00AC5FC2" w:rsidRPr="00AC5FC2">
        <w:rPr>
          <w:bCs/>
        </w:rPr>
        <w:t>5,0</w:t>
      </w:r>
      <w:r w:rsidR="005B3328">
        <w:rPr>
          <w:bCs/>
        </w:rPr>
        <w:t> </w:t>
      </w:r>
      <w:r w:rsidR="00AC5FC2" w:rsidRPr="00AC5FC2">
        <w:rPr>
          <w:bCs/>
        </w:rPr>
        <w:t>milliárd forint összegben</w:t>
      </w:r>
      <w:r w:rsidRPr="00AC5FC2">
        <w:t>.</w:t>
      </w:r>
    </w:p>
    <w:p w14:paraId="405D8FE5" w14:textId="11C2015A" w:rsidR="00256EE8" w:rsidRPr="00256EE8" w:rsidRDefault="2248451C" w:rsidP="00D94F6F">
      <w:pPr>
        <w:ind w:right="23"/>
        <w:rPr>
          <w:bCs/>
          <w:szCs w:val="26"/>
        </w:rPr>
      </w:pPr>
      <w:r>
        <w:lastRenderedPageBreak/>
        <w:t>Az előzetes adatok szerint jú</w:t>
      </w:r>
      <w:r w:rsidR="00627D6D">
        <w:t>l</w:t>
      </w:r>
      <w:r>
        <w:t xml:space="preserve">ius végén a </w:t>
      </w:r>
      <w:r w:rsidRPr="2248451C">
        <w:rPr>
          <w:b/>
          <w:bCs/>
        </w:rPr>
        <w:t xml:space="preserve">központi költségvetés forint- és devizaadóssága </w:t>
      </w:r>
      <w:r>
        <w:t>az alábbiak szerint alakult:</w:t>
      </w:r>
    </w:p>
    <w:p w14:paraId="45726EA9" w14:textId="108B1B9A" w:rsidR="00BF18EE" w:rsidRDefault="2248451C" w:rsidP="00D94F6F">
      <w:pPr>
        <w:overflowPunct w:val="0"/>
        <w:autoSpaceDE w:val="0"/>
        <w:autoSpaceDN w:val="0"/>
        <w:adjustRightInd w:val="0"/>
        <w:spacing w:before="240" w:after="240"/>
        <w:ind w:right="23"/>
        <w:jc w:val="center"/>
        <w:textAlignment w:val="baseline"/>
      </w:pPr>
      <w:r>
        <w:t>A központi költségvetés adósságának alakulása 2020-ban, milliárd forint</w:t>
      </w:r>
    </w:p>
    <w:p w14:paraId="61FF3977" w14:textId="707C6611" w:rsidR="00B85CB2" w:rsidRDefault="00B85CB2" w:rsidP="004C5CA0">
      <w:pPr>
        <w:jc w:val="left"/>
        <w:rPr>
          <w:i/>
          <w:iCs/>
          <w:sz w:val="20"/>
        </w:rPr>
      </w:pPr>
      <w:r w:rsidRPr="00E3469C">
        <w:rPr>
          <w:noProof/>
        </w:rPr>
        <w:drawing>
          <wp:inline distT="0" distB="0" distL="0" distR="0" wp14:anchorId="6F6491D5" wp14:editId="5D1EDC5C">
            <wp:extent cx="8619214" cy="4081188"/>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34765" cy="4088551"/>
                    </a:xfrm>
                    <a:prstGeom prst="rect">
                      <a:avLst/>
                    </a:prstGeom>
                    <a:noFill/>
                    <a:ln>
                      <a:noFill/>
                    </a:ln>
                  </pic:spPr>
                </pic:pic>
              </a:graphicData>
            </a:graphic>
          </wp:inline>
        </w:drawing>
      </w:r>
    </w:p>
    <w:p w14:paraId="6ECE2FDE" w14:textId="12A9786E" w:rsidR="00E6275A" w:rsidRPr="00DB479B" w:rsidRDefault="2248451C" w:rsidP="2248451C">
      <w:pPr>
        <w:rPr>
          <w:sz w:val="20"/>
        </w:rPr>
      </w:pPr>
      <w:r w:rsidRPr="2248451C">
        <w:rPr>
          <w:i/>
          <w:iCs/>
          <w:sz w:val="20"/>
        </w:rPr>
        <w:t>Megjegyzés: a táblában szereplő tizedes eltérések kerekítésből adódnak.</w:t>
      </w:r>
    </w:p>
    <w:p w14:paraId="5D4F044B" w14:textId="77777777" w:rsidR="00881044" w:rsidRDefault="00881044" w:rsidP="00694CFA">
      <w:pPr>
        <w:overflowPunct w:val="0"/>
        <w:autoSpaceDE w:val="0"/>
        <w:autoSpaceDN w:val="0"/>
        <w:adjustRightInd w:val="0"/>
        <w:spacing w:before="120"/>
        <w:ind w:right="23"/>
        <w:textAlignment w:val="baseline"/>
        <w:rPr>
          <w:b/>
          <w:bCs/>
          <w:szCs w:val="26"/>
        </w:rPr>
        <w:sectPr w:rsidR="00881044" w:rsidSect="00D46179">
          <w:headerReference w:type="default" r:id="rId28"/>
          <w:headerReference w:type="first" r:id="rId29"/>
          <w:footnotePr>
            <w:numRestart w:val="eachPage"/>
          </w:footnotePr>
          <w:pgSz w:w="16840" w:h="11907" w:orient="landscape" w:code="9"/>
          <w:pgMar w:top="993" w:right="1134" w:bottom="1134" w:left="1418" w:header="709" w:footer="709" w:gutter="0"/>
          <w:cols w:space="708"/>
          <w:titlePg/>
        </w:sectPr>
      </w:pPr>
    </w:p>
    <w:p w14:paraId="644FBCEE" w14:textId="229D4F4A" w:rsidR="00101917" w:rsidRPr="00EA1509" w:rsidRDefault="00960D18" w:rsidP="2248451C">
      <w:pPr>
        <w:pStyle w:val="Szvegtrzs"/>
        <w:rPr>
          <w:color w:val="auto"/>
        </w:rPr>
      </w:pPr>
      <w:r w:rsidRPr="00960D18">
        <w:rPr>
          <w:b/>
          <w:color w:val="auto"/>
        </w:rPr>
        <w:lastRenderedPageBreak/>
        <w:t>A központi költségvetés devizaadóssága</w:t>
      </w:r>
      <w:r w:rsidRPr="00960D18">
        <w:rPr>
          <w:color w:val="auto"/>
        </w:rPr>
        <w:t xml:space="preserve"> július végéig 673,0</w:t>
      </w:r>
      <w:r w:rsidR="00C53D05">
        <w:rPr>
          <w:color w:val="auto"/>
        </w:rPr>
        <w:t> </w:t>
      </w:r>
      <w:r w:rsidRPr="00960D18">
        <w:rPr>
          <w:color w:val="auto"/>
        </w:rPr>
        <w:t>milliárd forinttal 5794,2</w:t>
      </w:r>
      <w:r w:rsidR="00C53D05">
        <w:rPr>
          <w:color w:val="auto"/>
        </w:rPr>
        <w:t> </w:t>
      </w:r>
      <w:r w:rsidRPr="00960D18">
        <w:rPr>
          <w:color w:val="auto"/>
        </w:rPr>
        <w:t>milliárd forintra növekedett az elmúlt év végéhez képest. A devizaadósság részaránya a 2019. év végi 17,3</w:t>
      </w:r>
      <w:r w:rsidR="00C53D05">
        <w:rPr>
          <w:color w:val="auto"/>
        </w:rPr>
        <w:t>%-os</w:t>
      </w:r>
      <w:r w:rsidRPr="00960D18">
        <w:rPr>
          <w:color w:val="auto"/>
        </w:rPr>
        <w:t xml:space="preserve"> szintről 18,2</w:t>
      </w:r>
      <w:r w:rsidR="00C53D05">
        <w:rPr>
          <w:color w:val="auto"/>
        </w:rPr>
        <w:t>%-os</w:t>
      </w:r>
      <w:r w:rsidRPr="00960D18">
        <w:rPr>
          <w:color w:val="auto"/>
        </w:rPr>
        <w:t xml:space="preserve"> szintre emelkedett a teljes adósságon belül. A növekedés hátterében Magyarország első nemzetközi Zöld Kötvényének június eleji kibocsátása áll 518,4</w:t>
      </w:r>
      <w:r w:rsidR="002C701C">
        <w:rPr>
          <w:color w:val="auto"/>
        </w:rPr>
        <w:t> </w:t>
      </w:r>
      <w:r w:rsidRPr="00960D18">
        <w:rPr>
          <w:color w:val="auto"/>
        </w:rPr>
        <w:t>milliárd forint (1,5</w:t>
      </w:r>
      <w:r w:rsidR="002C701C">
        <w:rPr>
          <w:color w:val="auto"/>
        </w:rPr>
        <w:t> </w:t>
      </w:r>
      <w:r w:rsidRPr="00960D18">
        <w:rPr>
          <w:color w:val="auto"/>
        </w:rPr>
        <w:t>milliárd euró) összegben, valamint az április végén kibocsátott 707,6</w:t>
      </w:r>
      <w:r w:rsidR="002C701C">
        <w:rPr>
          <w:color w:val="auto"/>
        </w:rPr>
        <w:t> </w:t>
      </w:r>
      <w:r w:rsidRPr="00960D18">
        <w:rPr>
          <w:color w:val="auto"/>
        </w:rPr>
        <w:t>milliárd forint (1-1</w:t>
      </w:r>
      <w:r w:rsidR="002C701C">
        <w:rPr>
          <w:color w:val="auto"/>
        </w:rPr>
        <w:t> </w:t>
      </w:r>
      <w:r w:rsidRPr="00960D18">
        <w:rPr>
          <w:color w:val="auto"/>
        </w:rPr>
        <w:t>milliárd euró) devizakötvény kibocsátások állnak.</w:t>
      </w:r>
    </w:p>
    <w:p w14:paraId="4316710C" w14:textId="1D79795C" w:rsidR="00960D18" w:rsidRPr="00960D18" w:rsidRDefault="00960D18" w:rsidP="00960D18">
      <w:pPr>
        <w:spacing w:before="240"/>
        <w:rPr>
          <w:bCs/>
        </w:rPr>
      </w:pPr>
      <w:r w:rsidRPr="00960D18">
        <w:rPr>
          <w:b/>
          <w:bCs/>
        </w:rPr>
        <w:t>A költségvetés forintadóssága</w:t>
      </w:r>
      <w:r w:rsidRPr="00960D18">
        <w:rPr>
          <w:bCs/>
        </w:rPr>
        <w:t xml:space="preserve"> július végéig 1419,2</w:t>
      </w:r>
      <w:r w:rsidR="00613E71">
        <w:rPr>
          <w:bCs/>
        </w:rPr>
        <w:t> </w:t>
      </w:r>
      <w:r w:rsidRPr="00960D18">
        <w:rPr>
          <w:bCs/>
        </w:rPr>
        <w:t>milliárd forinttal nőtt, és 25</w:t>
      </w:r>
      <w:r>
        <w:rPr>
          <w:bCs/>
        </w:rPr>
        <w:t> </w:t>
      </w:r>
      <w:r w:rsidRPr="00960D18">
        <w:rPr>
          <w:bCs/>
        </w:rPr>
        <w:t>776,3</w:t>
      </w:r>
      <w:r>
        <w:rPr>
          <w:bCs/>
        </w:rPr>
        <w:t> </w:t>
      </w:r>
      <w:r w:rsidRPr="00960D18">
        <w:rPr>
          <w:bCs/>
        </w:rPr>
        <w:t>milliárd forintot ért el, a forint részarány a teljes államadósság 81,1%-át teszi ki. 2019 decem</w:t>
      </w:r>
      <w:r>
        <w:rPr>
          <w:bCs/>
        </w:rPr>
        <w:t>berében ez az arány 82,1% volt.</w:t>
      </w:r>
    </w:p>
    <w:p w14:paraId="4EFBA483" w14:textId="1CE1EF3D" w:rsidR="00960D18" w:rsidRPr="00960D18" w:rsidRDefault="00960D18" w:rsidP="00960D18">
      <w:pPr>
        <w:spacing w:before="240"/>
        <w:rPr>
          <w:bCs/>
        </w:rPr>
      </w:pPr>
      <w:r w:rsidRPr="00960D18">
        <w:rPr>
          <w:bCs/>
        </w:rPr>
        <w:t>2020. július végén a lakossági állampapírok állománya 8465,6</w:t>
      </w:r>
      <w:r w:rsidR="008A6F27">
        <w:rPr>
          <w:bCs/>
        </w:rPr>
        <w:t> </w:t>
      </w:r>
      <w:r>
        <w:rPr>
          <w:bCs/>
        </w:rPr>
        <w:t xml:space="preserve">milliárd forintot tett ki, ami </w:t>
      </w:r>
      <w:r w:rsidRPr="00960D18">
        <w:rPr>
          <w:bCs/>
        </w:rPr>
        <w:t>608,4</w:t>
      </w:r>
      <w:r w:rsidR="00497523">
        <w:rPr>
          <w:bCs/>
        </w:rPr>
        <w:t> </w:t>
      </w:r>
      <w:r w:rsidRPr="00960D18">
        <w:rPr>
          <w:bCs/>
        </w:rPr>
        <w:t>milliárd forint csökkenést jelent 2019. december vége óta. A csökkenést elsősorban a koronavírus-járvány következtében kialakult bizonytalan helyzet, valamint az egyéb intézményi befektetők tulajdonában lévő lakossági állampapírok lejárata okozta. A kijárási korlátozások következtében ideiglenesen visszaesett lakossági állampapír</w:t>
      </w:r>
      <w:r w:rsidR="002C6DDC">
        <w:rPr>
          <w:bCs/>
        </w:rPr>
        <w:t>-</w:t>
      </w:r>
      <w:r w:rsidR="00EE586C">
        <w:rPr>
          <w:bCs/>
        </w:rPr>
        <w:t>k</w:t>
      </w:r>
      <w:r w:rsidRPr="00960D18">
        <w:rPr>
          <w:bCs/>
        </w:rPr>
        <w:t>ereslet döntő hányadát a Magyar Állampa</w:t>
      </w:r>
      <w:r>
        <w:rPr>
          <w:bCs/>
        </w:rPr>
        <w:t>pír Plusz értékesítése képezte.</w:t>
      </w:r>
    </w:p>
    <w:p w14:paraId="26E3168D" w14:textId="6F459CD1" w:rsidR="00960D18" w:rsidRPr="00960D18" w:rsidRDefault="00960D18" w:rsidP="00960D18">
      <w:pPr>
        <w:spacing w:before="240"/>
        <w:rPr>
          <w:bCs/>
        </w:rPr>
      </w:pPr>
      <w:r w:rsidRPr="00960D18">
        <w:rPr>
          <w:bCs/>
        </w:rPr>
        <w:t>A kizárólag lakossági ügyfelek által vásárolható Magyar Állampapír Plusz állomány július végéig 1099,4</w:t>
      </w:r>
      <w:r w:rsidR="00F60169">
        <w:rPr>
          <w:bCs/>
        </w:rPr>
        <w:t> </w:t>
      </w:r>
      <w:r w:rsidRPr="00960D18">
        <w:rPr>
          <w:bCs/>
        </w:rPr>
        <w:t>milliárd forinttal növekedett, hó végére 4235,4</w:t>
      </w:r>
      <w:r w:rsidR="00F60169">
        <w:rPr>
          <w:bCs/>
        </w:rPr>
        <w:t> </w:t>
      </w:r>
      <w:r w:rsidRPr="00960D18">
        <w:rPr>
          <w:bCs/>
        </w:rPr>
        <w:t>milliárd forintot ért el. A nyomdai úton előállított Magyar Állampapír Plusz állománya 113,8</w:t>
      </w:r>
      <w:r w:rsidR="00F60169">
        <w:rPr>
          <w:bCs/>
        </w:rPr>
        <w:t> </w:t>
      </w:r>
      <w:r w:rsidRPr="00960D18">
        <w:rPr>
          <w:bCs/>
        </w:rPr>
        <w:t>milliárd forint növekedés következtében 173,9</w:t>
      </w:r>
      <w:r w:rsidR="00F60169">
        <w:rPr>
          <w:bCs/>
        </w:rPr>
        <w:t> </w:t>
      </w:r>
      <w:r w:rsidRPr="00960D18">
        <w:rPr>
          <w:bCs/>
        </w:rPr>
        <w:t>milliárd forint volt hó végén. Az egy évnél hosszabb futamidejű Prémium Magyar Állampapír állománya az intézményi befektetők tulajdonában lévő jelentős összegű lejárat, illetve a forgalmazóktól történő visszavásárlás következtében 2020. július végén 297,3</w:t>
      </w:r>
      <w:r w:rsidR="00F60169">
        <w:rPr>
          <w:bCs/>
        </w:rPr>
        <w:t> </w:t>
      </w:r>
      <w:r w:rsidRPr="00960D18">
        <w:rPr>
          <w:bCs/>
        </w:rPr>
        <w:t>milliárd forinttal csökkent, amely így 2221,1</w:t>
      </w:r>
      <w:r w:rsidR="00F60169">
        <w:rPr>
          <w:bCs/>
        </w:rPr>
        <w:t> </w:t>
      </w:r>
      <w:r w:rsidRPr="00960D18">
        <w:rPr>
          <w:bCs/>
        </w:rPr>
        <w:t>milliárd for</w:t>
      </w:r>
      <w:r>
        <w:rPr>
          <w:bCs/>
        </w:rPr>
        <w:t>intot tett ki.</w:t>
      </w:r>
    </w:p>
    <w:p w14:paraId="70E4D458" w14:textId="3256D05A" w:rsidR="00960D18" w:rsidRPr="00960D18" w:rsidRDefault="00960D18" w:rsidP="00960D18">
      <w:pPr>
        <w:spacing w:before="240"/>
        <w:rPr>
          <w:bCs/>
        </w:rPr>
      </w:pPr>
      <w:r w:rsidRPr="00960D18">
        <w:rPr>
          <w:bCs/>
        </w:rPr>
        <w:t>A már nem értékesített Bónusz Magyar Állampapír 381,8</w:t>
      </w:r>
      <w:r w:rsidR="00F821C0">
        <w:rPr>
          <w:bCs/>
        </w:rPr>
        <w:t> </w:t>
      </w:r>
      <w:r w:rsidRPr="00960D18">
        <w:rPr>
          <w:bCs/>
        </w:rPr>
        <w:t>milliárd forint csökkenést követően 69,6</w:t>
      </w:r>
      <w:r w:rsidR="00F821C0">
        <w:rPr>
          <w:bCs/>
        </w:rPr>
        <w:t> </w:t>
      </w:r>
      <w:r w:rsidRPr="00960D18">
        <w:rPr>
          <w:bCs/>
        </w:rPr>
        <w:t>milliárd forintos állománnyal zárt hó végén. A szintén nem forgalmazott kétéves futamidejű, fix kamatozású állampapír állománya 107,6</w:t>
      </w:r>
      <w:r w:rsidR="00F821C0">
        <w:rPr>
          <w:bCs/>
        </w:rPr>
        <w:t> </w:t>
      </w:r>
      <w:r w:rsidRPr="00960D18">
        <w:rPr>
          <w:bCs/>
        </w:rPr>
        <w:t>milliárd forinttal 107,5</w:t>
      </w:r>
      <w:r w:rsidR="00F821C0">
        <w:rPr>
          <w:bCs/>
        </w:rPr>
        <w:t> </w:t>
      </w:r>
      <w:r w:rsidRPr="00960D18">
        <w:rPr>
          <w:bCs/>
        </w:rPr>
        <w:t>milliárd forintra mérséklődött július hó végéig. Az Egyéves Magyar Állampapír állománya 1189,4</w:t>
      </w:r>
      <w:r w:rsidR="00F821C0">
        <w:rPr>
          <w:bCs/>
        </w:rPr>
        <w:t> </w:t>
      </w:r>
      <w:r w:rsidRPr="00960D18">
        <w:rPr>
          <w:bCs/>
        </w:rPr>
        <w:t>milliárd forint volt július végén, ami 968,6</w:t>
      </w:r>
      <w:r w:rsidR="00F821C0">
        <w:rPr>
          <w:bCs/>
        </w:rPr>
        <w:t> </w:t>
      </w:r>
      <w:r w:rsidRPr="00960D18">
        <w:rPr>
          <w:bCs/>
        </w:rPr>
        <w:t>milliárd forinttal alacsonyabb a 2019. év végi állománynál. Az Egyéves Magyar Állampapír állománycsökkenés</w:t>
      </w:r>
      <w:r w:rsidR="003F078D">
        <w:rPr>
          <w:bCs/>
        </w:rPr>
        <w:t>ének</w:t>
      </w:r>
      <w:r w:rsidRPr="00960D18">
        <w:rPr>
          <w:bCs/>
        </w:rPr>
        <w:t xml:space="preserve"> oka az intézményi lejáratok mellett, hogy a lakossági befektetők lejáró értékpapírjaikból képződő bevételeiket Magyar Állampap</w:t>
      </w:r>
      <w:r>
        <w:rPr>
          <w:bCs/>
        </w:rPr>
        <w:t>ír Plusz vásárlására fordítják.</w:t>
      </w:r>
    </w:p>
    <w:p w14:paraId="15B32BDB" w14:textId="2D151517" w:rsidR="00960D18" w:rsidRPr="00960D18" w:rsidRDefault="00960D18" w:rsidP="00960D18">
      <w:pPr>
        <w:spacing w:before="240"/>
        <w:rPr>
          <w:bCs/>
        </w:rPr>
      </w:pPr>
      <w:r w:rsidRPr="00960D18">
        <w:rPr>
          <w:bCs/>
        </w:rPr>
        <w:t>Az ÁKK Zrt. július hó folyamán 67,7</w:t>
      </w:r>
      <w:r w:rsidR="00015128">
        <w:rPr>
          <w:bCs/>
        </w:rPr>
        <w:t> </w:t>
      </w:r>
      <w:r w:rsidRPr="00960D18">
        <w:rPr>
          <w:bCs/>
        </w:rPr>
        <w:t>milliárd forint összegben vásárolt vissza lakossági állampapírokat a forgalmazó bankoktól.</w:t>
      </w:r>
    </w:p>
    <w:p w14:paraId="15A63C04" w14:textId="5B306C30" w:rsidR="00960D18" w:rsidRPr="00960D18" w:rsidRDefault="00960D18" w:rsidP="00960D18">
      <w:pPr>
        <w:spacing w:before="240"/>
        <w:rPr>
          <w:bCs/>
        </w:rPr>
      </w:pPr>
      <w:r w:rsidRPr="00960D18">
        <w:rPr>
          <w:bCs/>
        </w:rPr>
        <w:t>A külföldi befektetők állampapí</w:t>
      </w:r>
      <w:r w:rsidR="00EC251B">
        <w:rPr>
          <w:bCs/>
        </w:rPr>
        <w:t>r-</w:t>
      </w:r>
      <w:r w:rsidRPr="00960D18">
        <w:rPr>
          <w:bCs/>
        </w:rPr>
        <w:t xml:space="preserve"> állománya júliusban 375,2</w:t>
      </w:r>
      <w:r w:rsidR="000A58E7">
        <w:rPr>
          <w:bCs/>
        </w:rPr>
        <w:t> </w:t>
      </w:r>
      <w:r w:rsidRPr="00960D18">
        <w:rPr>
          <w:bCs/>
        </w:rPr>
        <w:t>milliárd forinttal növekedett az előző hónaphoz képest. A külföldi állomány 99,3%-a, 4391,0</w:t>
      </w:r>
      <w:r w:rsidR="000A58E7">
        <w:rPr>
          <w:bCs/>
        </w:rPr>
        <w:t> </w:t>
      </w:r>
      <w:r w:rsidRPr="00960D18">
        <w:rPr>
          <w:bCs/>
        </w:rPr>
        <w:t>milliárd forint államkötvény és 0,7%-a, 29,7</w:t>
      </w:r>
      <w:r w:rsidR="000A58E7">
        <w:rPr>
          <w:bCs/>
        </w:rPr>
        <w:t> </w:t>
      </w:r>
      <w:r w:rsidRPr="00960D18">
        <w:rPr>
          <w:bCs/>
        </w:rPr>
        <w:t>milliárd forint diszkontkincstárjegy. A külföldi állomány átlagos hátralévő futamideje július végén 5,6 év volt, amely enyhén mérséklődött az előző hónap végéhez képest.</w:t>
      </w:r>
    </w:p>
    <w:p w14:paraId="11D9944C" w14:textId="501EA05B" w:rsidR="00960D18" w:rsidRPr="00960D18" w:rsidRDefault="00960D18" w:rsidP="00960D18">
      <w:pPr>
        <w:spacing w:before="240"/>
      </w:pPr>
      <w:r w:rsidRPr="00960D18">
        <w:rPr>
          <w:bCs/>
        </w:rPr>
        <w:t xml:space="preserve">A deviza-államadósság kockázatainak csökkentése érdekében az ÁKK Zrt. swap műveleteket köt, amiből az adósságállomány részét képezik az ezen ügyletek után az </w:t>
      </w:r>
      <w:r w:rsidRPr="00960D18">
        <w:rPr>
          <w:bCs/>
        </w:rPr>
        <w:lastRenderedPageBreak/>
        <w:t>ÁKK Zrt.-nél elhelyezésre kerülő fedezeti összegek (az ún. mark-to-market betétek) az egyéb kötelezettségek soron. Az elmúlt években az egyéb devizák (főként az USD) jelentősen felértékelődtek az euróhoz képest, az emiatt keletkező többletadósságot viszont a swapkötéssel sikerült kizárni. A vizsgált időszakban az egyéb kötelezettségek állománya 5,0</w:t>
      </w:r>
      <w:r w:rsidR="00184ED0">
        <w:rPr>
          <w:bCs/>
        </w:rPr>
        <w:t> </w:t>
      </w:r>
      <w:r w:rsidRPr="00960D18">
        <w:rPr>
          <w:bCs/>
        </w:rPr>
        <w:t>milliárd forinttal növekedett. Július végén az állomány 208,6</w:t>
      </w:r>
      <w:r w:rsidR="00184ED0">
        <w:rPr>
          <w:bCs/>
        </w:rPr>
        <w:t> </w:t>
      </w:r>
      <w:r w:rsidRPr="00960D18">
        <w:rPr>
          <w:bCs/>
        </w:rPr>
        <w:t>milliárd forintot tett ki, ami a teljes államadósság 0,7%-</w:t>
      </w:r>
      <w:r w:rsidR="00184ED0">
        <w:rPr>
          <w:bCs/>
        </w:rPr>
        <w:t>a</w:t>
      </w:r>
      <w:r w:rsidRPr="00960D18">
        <w:rPr>
          <w:bCs/>
        </w:rPr>
        <w:t>.</w:t>
      </w:r>
    </w:p>
    <w:p w14:paraId="64ACD137" w14:textId="77777777" w:rsidR="00B72FCC" w:rsidRDefault="2248451C" w:rsidP="2248451C">
      <w:pPr>
        <w:keepNext/>
        <w:numPr>
          <w:ilvl w:val="0"/>
          <w:numId w:val="5"/>
        </w:numPr>
        <w:overflowPunct w:val="0"/>
        <w:autoSpaceDE w:val="0"/>
        <w:autoSpaceDN w:val="0"/>
        <w:adjustRightInd w:val="0"/>
        <w:ind w:left="567" w:hanging="567"/>
        <w:jc w:val="left"/>
        <w:textAlignment w:val="baseline"/>
        <w:outlineLvl w:val="3"/>
        <w:rPr>
          <w:b/>
          <w:bCs/>
        </w:rPr>
      </w:pPr>
      <w:r w:rsidRPr="2248451C">
        <w:rPr>
          <w:b/>
          <w:bCs/>
        </w:rPr>
        <w:t>Kamatok, hozamok alakulása</w:t>
      </w:r>
    </w:p>
    <w:p w14:paraId="647C3CE9" w14:textId="0E5F3288" w:rsidR="00960D18" w:rsidRDefault="00960D18" w:rsidP="00960D18">
      <w:pPr>
        <w:overflowPunct w:val="0"/>
        <w:autoSpaceDE w:val="0"/>
        <w:autoSpaceDN w:val="0"/>
        <w:adjustRightInd w:val="0"/>
        <w:textAlignment w:val="baseline"/>
      </w:pPr>
      <w:r>
        <w:t>A diszkontkincstárjegyek júliusi aukcióin a havi átlagos fedezettség az előző havi 2,5-ről 1,7-re mérséklődött. A kötvényaukciókon a havi átlagos fedezettség az előző havi 3,5-ről 2,4-re csökkent.</w:t>
      </w:r>
    </w:p>
    <w:p w14:paraId="75DE65E7" w14:textId="6947E159" w:rsidR="00960D18" w:rsidRDefault="00960D18" w:rsidP="00960D18">
      <w:pPr>
        <w:overflowPunct w:val="0"/>
        <w:autoSpaceDE w:val="0"/>
        <w:autoSpaceDN w:val="0"/>
        <w:adjustRightInd w:val="0"/>
        <w:textAlignment w:val="baseline"/>
      </w:pPr>
      <w:r>
        <w:t>A 3 hónapos diszkontkincstárjegy utolsó júliusi aukcióján a hozam az egy hónappal korábbi aukcióhoz képest 3 bázisponttal csökkent, és 0,28%-ot tett ki. A 12 hónapos kincstárjegy utolsó júliusi aukcióján a kialakult átlaghozam 0,33% lett, amely 9</w:t>
      </w:r>
      <w:r w:rsidR="0001032C">
        <w:t> </w:t>
      </w:r>
      <w:r>
        <w:t>bázisponttal alacsonyabb a júniusi értéknél.</w:t>
      </w:r>
    </w:p>
    <w:p w14:paraId="424DA771" w14:textId="317E183F" w:rsidR="00B4580C" w:rsidRPr="00B4580C" w:rsidRDefault="00960D18" w:rsidP="00960D18">
      <w:pPr>
        <w:overflowPunct w:val="0"/>
        <w:autoSpaceDE w:val="0"/>
        <w:autoSpaceDN w:val="0"/>
        <w:adjustRightInd w:val="0"/>
        <w:textAlignment w:val="baseline"/>
        <w:rPr>
          <w:bCs/>
        </w:rPr>
      </w:pPr>
      <w:r>
        <w:t>A 3 éves kötvényaukción a hozam 0,94%-ot tett ki, amely 1 bázisponttal magasabb, mint az utolsó júniusi aukción kialakult átlaghozam. Az 5 éves kötvény utolsó júliusi aukcióján az átlaghozam 1,23%-ot ért el, amely 5 bázisponttal marad</w:t>
      </w:r>
      <w:r w:rsidR="00E84959">
        <w:t>t</w:t>
      </w:r>
      <w:r>
        <w:t xml:space="preserve"> </w:t>
      </w:r>
      <w:r w:rsidR="00566D8D">
        <w:t xml:space="preserve">el </w:t>
      </w:r>
      <w:r>
        <w:t>az utolsó júniusi aukción kialakult átlaghozamtól. A 10 éves kötvényaukció 2,08%-os átlaghozama 23</w:t>
      </w:r>
      <w:r w:rsidR="00E84959">
        <w:t> </w:t>
      </w:r>
      <w:r>
        <w:t>bázisponttal alacsonyabb, mint az utolsó júniusi aukción kialakult átlaghozam. A 20</w:t>
      </w:r>
      <w:r w:rsidR="00E84959">
        <w:t> </w:t>
      </w:r>
      <w:r>
        <w:t>éves kötvényaukció 3,18-os átlaghozama 70 bázisponttal meghalad</w:t>
      </w:r>
      <w:r w:rsidR="00E84959">
        <w:t>t</w:t>
      </w:r>
      <w:r>
        <w:t>a a legutóbbi, májusi aukción kialakult átlaghozamot</w:t>
      </w:r>
      <w:r w:rsidR="2248451C">
        <w:t>.</w:t>
      </w:r>
    </w:p>
    <w:sectPr w:rsidR="00B4580C" w:rsidRPr="00B4580C" w:rsidSect="00730878">
      <w:footnotePr>
        <w:numRestart w:val="eachPage"/>
      </w:footnotePr>
      <w:pgSz w:w="11907" w:h="16840" w:code="9"/>
      <w:pgMar w:top="1134" w:right="1134" w:bottom="1418" w:left="1418" w:header="709" w:footer="283"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7BB1C" w14:textId="77777777" w:rsidR="0098002C" w:rsidRDefault="0098002C">
      <w:r>
        <w:separator/>
      </w:r>
    </w:p>
  </w:endnote>
  <w:endnote w:type="continuationSeparator" w:id="0">
    <w:p w14:paraId="75E6BFB8" w14:textId="77777777" w:rsidR="0098002C" w:rsidRDefault="0098002C">
      <w:r>
        <w:continuationSeparator/>
      </w:r>
    </w:p>
  </w:endnote>
  <w:endnote w:type="continuationNotice" w:id="1">
    <w:p w14:paraId="69774297" w14:textId="77777777" w:rsidR="0098002C" w:rsidRDefault="009800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671311"/>
      <w:docPartObj>
        <w:docPartGallery w:val="Page Numbers (Bottom of Page)"/>
        <w:docPartUnique/>
      </w:docPartObj>
    </w:sdtPr>
    <w:sdtEndPr/>
    <w:sdtContent>
      <w:p w14:paraId="47A602DE" w14:textId="754FEDB4" w:rsidR="00BC7332" w:rsidRDefault="00BC7332">
        <w:pPr>
          <w:pStyle w:val="llb"/>
          <w:jc w:val="center"/>
        </w:pPr>
        <w:r>
          <w:fldChar w:fldCharType="begin"/>
        </w:r>
        <w:r>
          <w:instrText>PAGE   \* MERGEFORMAT</w:instrText>
        </w:r>
        <w:r>
          <w:fldChar w:fldCharType="separate"/>
        </w:r>
        <w:r w:rsidR="002A4D3D">
          <w:rPr>
            <w:noProof/>
          </w:rPr>
          <w:t>6</w:t>
        </w:r>
        <w:r>
          <w:fldChar w:fldCharType="end"/>
        </w:r>
      </w:p>
    </w:sdtContent>
  </w:sdt>
  <w:p w14:paraId="5D4F0473" w14:textId="77777777" w:rsidR="00BC7332" w:rsidRPr="00B65D56" w:rsidRDefault="00BC7332" w:rsidP="00B65D5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190023"/>
      <w:docPartObj>
        <w:docPartGallery w:val="Page Numbers (Bottom of Page)"/>
        <w:docPartUnique/>
      </w:docPartObj>
    </w:sdtPr>
    <w:sdtEndPr/>
    <w:sdtContent>
      <w:p w14:paraId="5FB57992" w14:textId="371C8032" w:rsidR="00BC7332" w:rsidRDefault="00BC7332">
        <w:pPr>
          <w:pStyle w:val="llb"/>
          <w:jc w:val="center"/>
        </w:pPr>
        <w:r>
          <w:fldChar w:fldCharType="begin"/>
        </w:r>
        <w:r>
          <w:instrText>PAGE   \* MERGEFORMAT</w:instrText>
        </w:r>
        <w:r>
          <w:fldChar w:fldCharType="separate"/>
        </w:r>
        <w:r w:rsidR="002A4D3D">
          <w:rPr>
            <w:noProof/>
          </w:rPr>
          <w:t>- 0 -</w:t>
        </w:r>
        <w:r>
          <w:fldChar w:fldCharType="end"/>
        </w:r>
      </w:p>
    </w:sdtContent>
  </w:sdt>
  <w:p w14:paraId="2F25FF07" w14:textId="77777777" w:rsidR="00BC7332" w:rsidRDefault="00BC733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065C6" w14:textId="77777777" w:rsidR="0098002C" w:rsidRDefault="0098002C">
      <w:r>
        <w:separator/>
      </w:r>
    </w:p>
  </w:footnote>
  <w:footnote w:type="continuationSeparator" w:id="0">
    <w:p w14:paraId="128942C9" w14:textId="77777777" w:rsidR="0098002C" w:rsidRDefault="0098002C">
      <w:r>
        <w:continuationSeparator/>
      </w:r>
    </w:p>
  </w:footnote>
  <w:footnote w:type="continuationNotice" w:id="1">
    <w:p w14:paraId="789D9BAE" w14:textId="77777777" w:rsidR="0098002C" w:rsidRDefault="0098002C">
      <w:pPr>
        <w:spacing w:after="0"/>
      </w:pPr>
    </w:p>
  </w:footnote>
  <w:footnote w:id="2">
    <w:p w14:paraId="5D4F0478" w14:textId="77777777" w:rsidR="00BC7332" w:rsidRDefault="00BC7332" w:rsidP="2248451C">
      <w:pPr>
        <w:pStyle w:val="Lbjegyzetszveg"/>
        <w:ind w:hanging="142"/>
        <w:jc w:val="both"/>
        <w:rPr>
          <w:sz w:val="18"/>
          <w:szCs w:val="18"/>
        </w:rPr>
      </w:pPr>
      <w:r w:rsidRPr="2291142B">
        <w:rPr>
          <w:rStyle w:val="Lbjegyzet-hivatkozs"/>
          <w:sz w:val="18"/>
          <w:szCs w:val="18"/>
        </w:rPr>
        <w:t>*</w:t>
      </w:r>
      <w:r>
        <w:rPr>
          <w:sz w:val="18"/>
        </w:rPr>
        <w:tab/>
      </w:r>
      <w:r w:rsidRPr="2291142B">
        <w:rPr>
          <w:sz w:val="18"/>
          <w:szCs w:val="18"/>
        </w:rPr>
        <w:t>Az államháztartás központi alrendszerének havonkénti részletes adatai megtalálhatók a Magyar Államkincstár honlapján (http://www.allamkincstar.gov.hu).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CC22A" w14:textId="77777777" w:rsidR="00BC7332" w:rsidRPr="00881044" w:rsidRDefault="00BC7332" w:rsidP="00881044">
    <w:pPr>
      <w:pStyle w:val="lfej"/>
      <w:rPr>
        <w:rStyle w:val="Oldalsz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292FB" w14:textId="77777777" w:rsidR="00BC7332" w:rsidRPr="00FE4DD1" w:rsidRDefault="00BC7332" w:rsidP="00FE4DD1">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F0476" w14:textId="77777777" w:rsidR="00BC7332" w:rsidRPr="00881044" w:rsidRDefault="00BC7332" w:rsidP="00881044">
    <w:pPr>
      <w:pStyle w:val="lfej"/>
      <w:rPr>
        <w:rStyle w:val="Oldalszm"/>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F0477" w14:textId="77777777" w:rsidR="00BC7332" w:rsidRPr="00FE4DD1" w:rsidRDefault="00BC7332" w:rsidP="00FE4DD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298"/>
    <w:multiLevelType w:val="hybridMultilevel"/>
    <w:tmpl w:val="44CCC2AC"/>
    <w:lvl w:ilvl="0" w:tplc="08783BEC">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BA535F0"/>
    <w:multiLevelType w:val="hybridMultilevel"/>
    <w:tmpl w:val="078025E6"/>
    <w:lvl w:ilvl="0" w:tplc="8D9AF2B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E6876C3"/>
    <w:multiLevelType w:val="hybridMultilevel"/>
    <w:tmpl w:val="1760077C"/>
    <w:lvl w:ilvl="0" w:tplc="8CDC5FA0">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F9E7043"/>
    <w:multiLevelType w:val="hybridMultilevel"/>
    <w:tmpl w:val="1498719C"/>
    <w:lvl w:ilvl="0" w:tplc="0C4C157A">
      <w:start w:val="1"/>
      <w:numFmt w:val="decimal"/>
      <w:lvlText w:val="%1."/>
      <w:lvlJc w:val="left"/>
      <w:pPr>
        <w:ind w:left="720" w:hanging="360"/>
      </w:pPr>
      <w:rPr>
        <w:rFonts w:ascii="Times New Roman" w:hAnsi="Times New Roman"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66A2F41"/>
    <w:multiLevelType w:val="hybridMultilevel"/>
    <w:tmpl w:val="3D987462"/>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6EA776E"/>
    <w:multiLevelType w:val="hybridMultilevel"/>
    <w:tmpl w:val="F278880E"/>
    <w:lvl w:ilvl="0" w:tplc="8D9AF2B6">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E875348"/>
    <w:multiLevelType w:val="hybridMultilevel"/>
    <w:tmpl w:val="4C7C8330"/>
    <w:lvl w:ilvl="0" w:tplc="EEE8FA84">
      <w:start w:val="1"/>
      <w:numFmt w:val="upperRoman"/>
      <w:pStyle w:val="Kpalrs"/>
      <w:lvlText w:val="%1."/>
      <w:lvlJc w:val="left"/>
      <w:pPr>
        <w:tabs>
          <w:tab w:val="num" w:pos="1080"/>
        </w:tabs>
        <w:ind w:left="1080" w:hanging="720"/>
      </w:pPr>
      <w:rPr>
        <w:rFonts w:hint="default"/>
        <w:u w:val="none"/>
      </w:rPr>
    </w:lvl>
    <w:lvl w:ilvl="1" w:tplc="4F781A04">
      <w:start w:val="1"/>
      <w:numFmt w:val="decimal"/>
      <w:lvlText w:val="%2."/>
      <w:lvlJc w:val="left"/>
      <w:pPr>
        <w:tabs>
          <w:tab w:val="num" w:pos="1440"/>
        </w:tabs>
        <w:ind w:left="1440" w:hanging="360"/>
      </w:pPr>
      <w:rPr>
        <w:rFonts w:hint="default"/>
        <w:u w:val="none"/>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573523A"/>
    <w:multiLevelType w:val="hybridMultilevel"/>
    <w:tmpl w:val="92D45DA0"/>
    <w:lvl w:ilvl="0" w:tplc="5E4290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E7C7F0F"/>
    <w:multiLevelType w:val="hybridMultilevel"/>
    <w:tmpl w:val="710EC9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FD006B9"/>
    <w:multiLevelType w:val="hybridMultilevel"/>
    <w:tmpl w:val="50901804"/>
    <w:lvl w:ilvl="0" w:tplc="040E000F">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2F47659"/>
    <w:multiLevelType w:val="hybridMultilevel"/>
    <w:tmpl w:val="C60A11E4"/>
    <w:lvl w:ilvl="0" w:tplc="D9649056">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FA549BC"/>
    <w:multiLevelType w:val="hybridMultilevel"/>
    <w:tmpl w:val="DD082DA0"/>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CCE33D1"/>
    <w:multiLevelType w:val="hybridMultilevel"/>
    <w:tmpl w:val="D4381014"/>
    <w:lvl w:ilvl="0" w:tplc="B60223D4">
      <w:start w:val="201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8"/>
  </w:num>
  <w:num w:numId="7">
    <w:abstractNumId w:val="7"/>
  </w:num>
  <w:num w:numId="8">
    <w:abstractNumId w:val="0"/>
  </w:num>
  <w:num w:numId="9">
    <w:abstractNumId w:val="10"/>
  </w:num>
  <w:num w:numId="10">
    <w:abstractNumId w:val="12"/>
  </w:num>
  <w:num w:numId="11">
    <w:abstractNumId w:val="2"/>
  </w:num>
  <w:num w:numId="12">
    <w:abstractNumId w:val="9"/>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hu-HU" w:vendorID="7" w:dllVersion="513" w:checkStyle="0"/>
  <w:activeWritingStyle w:appName="MSWord" w:lang="hu-HU" w:vendorID="7" w:dllVersion="52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30"/>
  <w:drawingGridVerticalSpacing w:val="120"/>
  <w:displayHorizontalDrawingGridEvery w:val="2"/>
  <w:displayVerticalDrawingGridEvery w:val="0"/>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9A"/>
    <w:rsid w:val="00000082"/>
    <w:rsid w:val="00000262"/>
    <w:rsid w:val="0000053E"/>
    <w:rsid w:val="00000779"/>
    <w:rsid w:val="000007F2"/>
    <w:rsid w:val="00000BD9"/>
    <w:rsid w:val="00000C70"/>
    <w:rsid w:val="00000FA7"/>
    <w:rsid w:val="00001164"/>
    <w:rsid w:val="00001A1C"/>
    <w:rsid w:val="00001B34"/>
    <w:rsid w:val="00002D44"/>
    <w:rsid w:val="00002EBA"/>
    <w:rsid w:val="00002F32"/>
    <w:rsid w:val="0000319C"/>
    <w:rsid w:val="000031E7"/>
    <w:rsid w:val="0000346F"/>
    <w:rsid w:val="000039C4"/>
    <w:rsid w:val="00003A0A"/>
    <w:rsid w:val="00003AB5"/>
    <w:rsid w:val="00003AFF"/>
    <w:rsid w:val="00003D71"/>
    <w:rsid w:val="00003DAA"/>
    <w:rsid w:val="00003E72"/>
    <w:rsid w:val="000040A1"/>
    <w:rsid w:val="000041CC"/>
    <w:rsid w:val="0000447C"/>
    <w:rsid w:val="00004A2B"/>
    <w:rsid w:val="00004A6C"/>
    <w:rsid w:val="00004B11"/>
    <w:rsid w:val="00004C60"/>
    <w:rsid w:val="000050A4"/>
    <w:rsid w:val="00005414"/>
    <w:rsid w:val="00005653"/>
    <w:rsid w:val="00005ABA"/>
    <w:rsid w:val="00006580"/>
    <w:rsid w:val="00006BEB"/>
    <w:rsid w:val="00006C1C"/>
    <w:rsid w:val="00006E83"/>
    <w:rsid w:val="00007429"/>
    <w:rsid w:val="0000786D"/>
    <w:rsid w:val="00007C32"/>
    <w:rsid w:val="0001032C"/>
    <w:rsid w:val="00010E9B"/>
    <w:rsid w:val="00010EF9"/>
    <w:rsid w:val="00010FD3"/>
    <w:rsid w:val="00010FED"/>
    <w:rsid w:val="000111EE"/>
    <w:rsid w:val="000115A7"/>
    <w:rsid w:val="000118A8"/>
    <w:rsid w:val="00011A1C"/>
    <w:rsid w:val="00011AEC"/>
    <w:rsid w:val="00011CA1"/>
    <w:rsid w:val="000122E0"/>
    <w:rsid w:val="00012954"/>
    <w:rsid w:val="00012962"/>
    <w:rsid w:val="00012FB0"/>
    <w:rsid w:val="00012FE4"/>
    <w:rsid w:val="000133DD"/>
    <w:rsid w:val="000134F5"/>
    <w:rsid w:val="00013907"/>
    <w:rsid w:val="00013A33"/>
    <w:rsid w:val="00013CD2"/>
    <w:rsid w:val="000140C0"/>
    <w:rsid w:val="00014401"/>
    <w:rsid w:val="000148D6"/>
    <w:rsid w:val="00014A69"/>
    <w:rsid w:val="00014D97"/>
    <w:rsid w:val="000150A0"/>
    <w:rsid w:val="00015128"/>
    <w:rsid w:val="00015137"/>
    <w:rsid w:val="00015230"/>
    <w:rsid w:val="0001572F"/>
    <w:rsid w:val="000158B9"/>
    <w:rsid w:val="000159D2"/>
    <w:rsid w:val="00015DD1"/>
    <w:rsid w:val="000162DD"/>
    <w:rsid w:val="000171BE"/>
    <w:rsid w:val="0001738B"/>
    <w:rsid w:val="000173CF"/>
    <w:rsid w:val="00017505"/>
    <w:rsid w:val="000176FF"/>
    <w:rsid w:val="00017AB9"/>
    <w:rsid w:val="00017D30"/>
    <w:rsid w:val="00017D97"/>
    <w:rsid w:val="0002048B"/>
    <w:rsid w:val="00020553"/>
    <w:rsid w:val="0002080A"/>
    <w:rsid w:val="0002092A"/>
    <w:rsid w:val="000209F2"/>
    <w:rsid w:val="00021491"/>
    <w:rsid w:val="00021768"/>
    <w:rsid w:val="00021A79"/>
    <w:rsid w:val="00021DAB"/>
    <w:rsid w:val="00022190"/>
    <w:rsid w:val="0002286F"/>
    <w:rsid w:val="000228D4"/>
    <w:rsid w:val="00022C6B"/>
    <w:rsid w:val="000230A1"/>
    <w:rsid w:val="0002313D"/>
    <w:rsid w:val="00023277"/>
    <w:rsid w:val="00023497"/>
    <w:rsid w:val="00023517"/>
    <w:rsid w:val="000235DE"/>
    <w:rsid w:val="0002365F"/>
    <w:rsid w:val="00023977"/>
    <w:rsid w:val="00023B1E"/>
    <w:rsid w:val="00023D4A"/>
    <w:rsid w:val="000244AA"/>
    <w:rsid w:val="000249CF"/>
    <w:rsid w:val="00024A56"/>
    <w:rsid w:val="00024C1D"/>
    <w:rsid w:val="00024F61"/>
    <w:rsid w:val="00025088"/>
    <w:rsid w:val="0002532C"/>
    <w:rsid w:val="000253CA"/>
    <w:rsid w:val="00025486"/>
    <w:rsid w:val="00025629"/>
    <w:rsid w:val="00025989"/>
    <w:rsid w:val="00025BA3"/>
    <w:rsid w:val="00025C6B"/>
    <w:rsid w:val="0002604D"/>
    <w:rsid w:val="00026280"/>
    <w:rsid w:val="000264E2"/>
    <w:rsid w:val="000266DF"/>
    <w:rsid w:val="00026701"/>
    <w:rsid w:val="000267A2"/>
    <w:rsid w:val="000268B5"/>
    <w:rsid w:val="00026C3E"/>
    <w:rsid w:val="00026CF8"/>
    <w:rsid w:val="00026D90"/>
    <w:rsid w:val="00027046"/>
    <w:rsid w:val="0002735F"/>
    <w:rsid w:val="00027464"/>
    <w:rsid w:val="0002749C"/>
    <w:rsid w:val="000274E3"/>
    <w:rsid w:val="000278D7"/>
    <w:rsid w:val="00027D41"/>
    <w:rsid w:val="000301B5"/>
    <w:rsid w:val="000302F7"/>
    <w:rsid w:val="0003036C"/>
    <w:rsid w:val="0003042E"/>
    <w:rsid w:val="00031079"/>
    <w:rsid w:val="00031114"/>
    <w:rsid w:val="00031212"/>
    <w:rsid w:val="00031A7F"/>
    <w:rsid w:val="00031EE0"/>
    <w:rsid w:val="00032036"/>
    <w:rsid w:val="0003206C"/>
    <w:rsid w:val="000326B6"/>
    <w:rsid w:val="0003279A"/>
    <w:rsid w:val="000327EC"/>
    <w:rsid w:val="00032981"/>
    <w:rsid w:val="000329B0"/>
    <w:rsid w:val="000329C3"/>
    <w:rsid w:val="00032B54"/>
    <w:rsid w:val="00032F08"/>
    <w:rsid w:val="000336BA"/>
    <w:rsid w:val="000337E0"/>
    <w:rsid w:val="00033817"/>
    <w:rsid w:val="00033B0A"/>
    <w:rsid w:val="00034164"/>
    <w:rsid w:val="000341D4"/>
    <w:rsid w:val="00034A1C"/>
    <w:rsid w:val="00034E9F"/>
    <w:rsid w:val="0003506A"/>
    <w:rsid w:val="000353E7"/>
    <w:rsid w:val="000356B8"/>
    <w:rsid w:val="00035846"/>
    <w:rsid w:val="000359D1"/>
    <w:rsid w:val="00035B72"/>
    <w:rsid w:val="00035DFD"/>
    <w:rsid w:val="00035E6C"/>
    <w:rsid w:val="00035E93"/>
    <w:rsid w:val="00035FC8"/>
    <w:rsid w:val="00036A80"/>
    <w:rsid w:val="00036B13"/>
    <w:rsid w:val="00036CEF"/>
    <w:rsid w:val="00036D6A"/>
    <w:rsid w:val="000370CB"/>
    <w:rsid w:val="000371AA"/>
    <w:rsid w:val="000374B0"/>
    <w:rsid w:val="000374D9"/>
    <w:rsid w:val="000375DB"/>
    <w:rsid w:val="0003779F"/>
    <w:rsid w:val="00037A25"/>
    <w:rsid w:val="00037DE9"/>
    <w:rsid w:val="00037E5D"/>
    <w:rsid w:val="00040071"/>
    <w:rsid w:val="00040819"/>
    <w:rsid w:val="00040D56"/>
    <w:rsid w:val="000411F7"/>
    <w:rsid w:val="00041242"/>
    <w:rsid w:val="00041496"/>
    <w:rsid w:val="00041712"/>
    <w:rsid w:val="00041DA5"/>
    <w:rsid w:val="00041E51"/>
    <w:rsid w:val="00041F52"/>
    <w:rsid w:val="000423AE"/>
    <w:rsid w:val="000424F9"/>
    <w:rsid w:val="0004255E"/>
    <w:rsid w:val="00042AAC"/>
    <w:rsid w:val="00042E08"/>
    <w:rsid w:val="00042F3F"/>
    <w:rsid w:val="00042F7E"/>
    <w:rsid w:val="0004309A"/>
    <w:rsid w:val="0004312B"/>
    <w:rsid w:val="00043F64"/>
    <w:rsid w:val="0004429E"/>
    <w:rsid w:val="000444EE"/>
    <w:rsid w:val="0004453C"/>
    <w:rsid w:val="00044996"/>
    <w:rsid w:val="00044B91"/>
    <w:rsid w:val="00044E9F"/>
    <w:rsid w:val="000450BB"/>
    <w:rsid w:val="00045390"/>
    <w:rsid w:val="0004560C"/>
    <w:rsid w:val="000459B0"/>
    <w:rsid w:val="00045EDE"/>
    <w:rsid w:val="00046118"/>
    <w:rsid w:val="00046204"/>
    <w:rsid w:val="00046229"/>
    <w:rsid w:val="0004639A"/>
    <w:rsid w:val="000463F7"/>
    <w:rsid w:val="000464B0"/>
    <w:rsid w:val="000464EB"/>
    <w:rsid w:val="000465F9"/>
    <w:rsid w:val="00046834"/>
    <w:rsid w:val="000468C4"/>
    <w:rsid w:val="000468D4"/>
    <w:rsid w:val="00046D1C"/>
    <w:rsid w:val="0004748D"/>
    <w:rsid w:val="0004754D"/>
    <w:rsid w:val="0004788F"/>
    <w:rsid w:val="000478D9"/>
    <w:rsid w:val="00047986"/>
    <w:rsid w:val="00047A20"/>
    <w:rsid w:val="00050055"/>
    <w:rsid w:val="00050561"/>
    <w:rsid w:val="00050A93"/>
    <w:rsid w:val="00050BE9"/>
    <w:rsid w:val="00050C3F"/>
    <w:rsid w:val="00050E7F"/>
    <w:rsid w:val="000513D6"/>
    <w:rsid w:val="00051653"/>
    <w:rsid w:val="00051D83"/>
    <w:rsid w:val="00051E51"/>
    <w:rsid w:val="00051F8F"/>
    <w:rsid w:val="000521E9"/>
    <w:rsid w:val="00052378"/>
    <w:rsid w:val="0005257C"/>
    <w:rsid w:val="00052606"/>
    <w:rsid w:val="00052889"/>
    <w:rsid w:val="0005295B"/>
    <w:rsid w:val="00052C8F"/>
    <w:rsid w:val="00052DE7"/>
    <w:rsid w:val="00052F73"/>
    <w:rsid w:val="00053202"/>
    <w:rsid w:val="00053627"/>
    <w:rsid w:val="00053733"/>
    <w:rsid w:val="000538A1"/>
    <w:rsid w:val="000538D8"/>
    <w:rsid w:val="00053930"/>
    <w:rsid w:val="00053AC8"/>
    <w:rsid w:val="00053BEC"/>
    <w:rsid w:val="00053CEC"/>
    <w:rsid w:val="0005407D"/>
    <w:rsid w:val="000540CA"/>
    <w:rsid w:val="000540E7"/>
    <w:rsid w:val="00054213"/>
    <w:rsid w:val="0005467E"/>
    <w:rsid w:val="00054697"/>
    <w:rsid w:val="000547B5"/>
    <w:rsid w:val="000547CF"/>
    <w:rsid w:val="00054A93"/>
    <w:rsid w:val="00054C52"/>
    <w:rsid w:val="00054FE3"/>
    <w:rsid w:val="00055097"/>
    <w:rsid w:val="000551F1"/>
    <w:rsid w:val="000556FC"/>
    <w:rsid w:val="000557AC"/>
    <w:rsid w:val="00055A48"/>
    <w:rsid w:val="00055D3F"/>
    <w:rsid w:val="00056922"/>
    <w:rsid w:val="00056BC3"/>
    <w:rsid w:val="00057672"/>
    <w:rsid w:val="0005769C"/>
    <w:rsid w:val="000577AA"/>
    <w:rsid w:val="00057912"/>
    <w:rsid w:val="00057ABF"/>
    <w:rsid w:val="00057AFF"/>
    <w:rsid w:val="00057F9F"/>
    <w:rsid w:val="0006001E"/>
    <w:rsid w:val="00060784"/>
    <w:rsid w:val="00060819"/>
    <w:rsid w:val="00060826"/>
    <w:rsid w:val="00060844"/>
    <w:rsid w:val="00060866"/>
    <w:rsid w:val="00060AF3"/>
    <w:rsid w:val="00060D40"/>
    <w:rsid w:val="000610CB"/>
    <w:rsid w:val="00061530"/>
    <w:rsid w:val="00061C42"/>
    <w:rsid w:val="00061DFB"/>
    <w:rsid w:val="00061E39"/>
    <w:rsid w:val="000621F4"/>
    <w:rsid w:val="000622F9"/>
    <w:rsid w:val="00062332"/>
    <w:rsid w:val="000625BF"/>
    <w:rsid w:val="00062A7C"/>
    <w:rsid w:val="0006326A"/>
    <w:rsid w:val="00063356"/>
    <w:rsid w:val="0006342C"/>
    <w:rsid w:val="000636B7"/>
    <w:rsid w:val="00063730"/>
    <w:rsid w:val="0006386C"/>
    <w:rsid w:val="000639D7"/>
    <w:rsid w:val="00063B10"/>
    <w:rsid w:val="00063BB3"/>
    <w:rsid w:val="000640FE"/>
    <w:rsid w:val="0006470B"/>
    <w:rsid w:val="0006483D"/>
    <w:rsid w:val="00064E97"/>
    <w:rsid w:val="00065234"/>
    <w:rsid w:val="000652D1"/>
    <w:rsid w:val="00065AAD"/>
    <w:rsid w:val="00065B27"/>
    <w:rsid w:val="00065B4D"/>
    <w:rsid w:val="00065C49"/>
    <w:rsid w:val="00065F1C"/>
    <w:rsid w:val="000660FE"/>
    <w:rsid w:val="0006642A"/>
    <w:rsid w:val="0006644F"/>
    <w:rsid w:val="0006662A"/>
    <w:rsid w:val="00066A73"/>
    <w:rsid w:val="00066F74"/>
    <w:rsid w:val="000676EC"/>
    <w:rsid w:val="0006777F"/>
    <w:rsid w:val="00067824"/>
    <w:rsid w:val="00067BCE"/>
    <w:rsid w:val="00067C20"/>
    <w:rsid w:val="000702D0"/>
    <w:rsid w:val="000704E9"/>
    <w:rsid w:val="00070707"/>
    <w:rsid w:val="00071166"/>
    <w:rsid w:val="000712BF"/>
    <w:rsid w:val="0007134D"/>
    <w:rsid w:val="0007139D"/>
    <w:rsid w:val="00071668"/>
    <w:rsid w:val="00071860"/>
    <w:rsid w:val="00071BE9"/>
    <w:rsid w:val="00072079"/>
    <w:rsid w:val="000720C3"/>
    <w:rsid w:val="0007223D"/>
    <w:rsid w:val="00073031"/>
    <w:rsid w:val="00073170"/>
    <w:rsid w:val="000736A3"/>
    <w:rsid w:val="000738A3"/>
    <w:rsid w:val="00073991"/>
    <w:rsid w:val="00073A61"/>
    <w:rsid w:val="00073D4B"/>
    <w:rsid w:val="00073EB1"/>
    <w:rsid w:val="00073F41"/>
    <w:rsid w:val="0007424D"/>
    <w:rsid w:val="00074329"/>
    <w:rsid w:val="000744B6"/>
    <w:rsid w:val="00074544"/>
    <w:rsid w:val="0007454D"/>
    <w:rsid w:val="00074742"/>
    <w:rsid w:val="00074C6F"/>
    <w:rsid w:val="00074D2D"/>
    <w:rsid w:val="0007523F"/>
    <w:rsid w:val="000754B7"/>
    <w:rsid w:val="000756AB"/>
    <w:rsid w:val="00075A68"/>
    <w:rsid w:val="00075EA6"/>
    <w:rsid w:val="00075FCE"/>
    <w:rsid w:val="00076374"/>
    <w:rsid w:val="00076937"/>
    <w:rsid w:val="0007698D"/>
    <w:rsid w:val="00076F7E"/>
    <w:rsid w:val="0007709B"/>
    <w:rsid w:val="000772FD"/>
    <w:rsid w:val="0007731E"/>
    <w:rsid w:val="000774D1"/>
    <w:rsid w:val="00077D0E"/>
    <w:rsid w:val="000806E9"/>
    <w:rsid w:val="00080A8A"/>
    <w:rsid w:val="00080BBB"/>
    <w:rsid w:val="00080BF9"/>
    <w:rsid w:val="00080C35"/>
    <w:rsid w:val="00080E92"/>
    <w:rsid w:val="0008118D"/>
    <w:rsid w:val="0008129E"/>
    <w:rsid w:val="0008147F"/>
    <w:rsid w:val="00081667"/>
    <w:rsid w:val="000818EC"/>
    <w:rsid w:val="00081900"/>
    <w:rsid w:val="00081A82"/>
    <w:rsid w:val="00081FB2"/>
    <w:rsid w:val="00082202"/>
    <w:rsid w:val="0008235E"/>
    <w:rsid w:val="0008236A"/>
    <w:rsid w:val="000827C1"/>
    <w:rsid w:val="000828B9"/>
    <w:rsid w:val="00082A5E"/>
    <w:rsid w:val="00082C4A"/>
    <w:rsid w:val="000832B8"/>
    <w:rsid w:val="00083625"/>
    <w:rsid w:val="00083647"/>
    <w:rsid w:val="0008374D"/>
    <w:rsid w:val="000838E8"/>
    <w:rsid w:val="00083928"/>
    <w:rsid w:val="000839C4"/>
    <w:rsid w:val="00083D48"/>
    <w:rsid w:val="00083DB7"/>
    <w:rsid w:val="00083E03"/>
    <w:rsid w:val="0008442C"/>
    <w:rsid w:val="000846B0"/>
    <w:rsid w:val="00084C35"/>
    <w:rsid w:val="00084E94"/>
    <w:rsid w:val="00084F8F"/>
    <w:rsid w:val="0008512A"/>
    <w:rsid w:val="00085183"/>
    <w:rsid w:val="000851FF"/>
    <w:rsid w:val="00086040"/>
    <w:rsid w:val="0008659E"/>
    <w:rsid w:val="000865F4"/>
    <w:rsid w:val="00086830"/>
    <w:rsid w:val="00086F21"/>
    <w:rsid w:val="00086F64"/>
    <w:rsid w:val="00087150"/>
    <w:rsid w:val="00087423"/>
    <w:rsid w:val="00087444"/>
    <w:rsid w:val="000875CA"/>
    <w:rsid w:val="000876A5"/>
    <w:rsid w:val="00087987"/>
    <w:rsid w:val="00087CD3"/>
    <w:rsid w:val="0009025B"/>
    <w:rsid w:val="00090271"/>
    <w:rsid w:val="0009055D"/>
    <w:rsid w:val="0009067F"/>
    <w:rsid w:val="0009087F"/>
    <w:rsid w:val="000908E7"/>
    <w:rsid w:val="00090AB4"/>
    <w:rsid w:val="00090BAC"/>
    <w:rsid w:val="00090C97"/>
    <w:rsid w:val="00090CE7"/>
    <w:rsid w:val="00091084"/>
    <w:rsid w:val="000910DA"/>
    <w:rsid w:val="0009121C"/>
    <w:rsid w:val="00091B8D"/>
    <w:rsid w:val="00091B97"/>
    <w:rsid w:val="00091C45"/>
    <w:rsid w:val="00091E5E"/>
    <w:rsid w:val="00091E96"/>
    <w:rsid w:val="0009222C"/>
    <w:rsid w:val="0009228A"/>
    <w:rsid w:val="00092529"/>
    <w:rsid w:val="00092B62"/>
    <w:rsid w:val="00093352"/>
    <w:rsid w:val="000933D7"/>
    <w:rsid w:val="00093521"/>
    <w:rsid w:val="00093854"/>
    <w:rsid w:val="000938C6"/>
    <w:rsid w:val="00093B1E"/>
    <w:rsid w:val="00093CEC"/>
    <w:rsid w:val="00093D38"/>
    <w:rsid w:val="00094414"/>
    <w:rsid w:val="00094808"/>
    <w:rsid w:val="00094843"/>
    <w:rsid w:val="00095B41"/>
    <w:rsid w:val="00095DE3"/>
    <w:rsid w:val="0009606B"/>
    <w:rsid w:val="000961B9"/>
    <w:rsid w:val="00096B6E"/>
    <w:rsid w:val="00096BD2"/>
    <w:rsid w:val="00096D11"/>
    <w:rsid w:val="00096D3E"/>
    <w:rsid w:val="00096FF2"/>
    <w:rsid w:val="00097A1F"/>
    <w:rsid w:val="00097DA2"/>
    <w:rsid w:val="00097E81"/>
    <w:rsid w:val="00097EC8"/>
    <w:rsid w:val="00097ED1"/>
    <w:rsid w:val="000A0825"/>
    <w:rsid w:val="000A0935"/>
    <w:rsid w:val="000A0A12"/>
    <w:rsid w:val="000A0A38"/>
    <w:rsid w:val="000A10BA"/>
    <w:rsid w:val="000A10BD"/>
    <w:rsid w:val="000A1E01"/>
    <w:rsid w:val="000A1FC2"/>
    <w:rsid w:val="000A209E"/>
    <w:rsid w:val="000A271A"/>
    <w:rsid w:val="000A30EA"/>
    <w:rsid w:val="000A3113"/>
    <w:rsid w:val="000A3214"/>
    <w:rsid w:val="000A3327"/>
    <w:rsid w:val="000A38EF"/>
    <w:rsid w:val="000A3BEE"/>
    <w:rsid w:val="000A3E99"/>
    <w:rsid w:val="000A41AF"/>
    <w:rsid w:val="000A42B7"/>
    <w:rsid w:val="000A45CB"/>
    <w:rsid w:val="000A4F88"/>
    <w:rsid w:val="000A55BD"/>
    <w:rsid w:val="000A58E7"/>
    <w:rsid w:val="000A5E92"/>
    <w:rsid w:val="000A64D5"/>
    <w:rsid w:val="000A683F"/>
    <w:rsid w:val="000A6F73"/>
    <w:rsid w:val="000A6FDB"/>
    <w:rsid w:val="000A741E"/>
    <w:rsid w:val="000A74A9"/>
    <w:rsid w:val="000A7BAE"/>
    <w:rsid w:val="000A7E87"/>
    <w:rsid w:val="000B0206"/>
    <w:rsid w:val="000B0A30"/>
    <w:rsid w:val="000B0CF3"/>
    <w:rsid w:val="000B0E2B"/>
    <w:rsid w:val="000B1186"/>
    <w:rsid w:val="000B11F1"/>
    <w:rsid w:val="000B13EA"/>
    <w:rsid w:val="000B152E"/>
    <w:rsid w:val="000B15CB"/>
    <w:rsid w:val="000B18F1"/>
    <w:rsid w:val="000B1929"/>
    <w:rsid w:val="000B1EEB"/>
    <w:rsid w:val="000B2692"/>
    <w:rsid w:val="000B2ED2"/>
    <w:rsid w:val="000B379C"/>
    <w:rsid w:val="000B3C1C"/>
    <w:rsid w:val="000B3DC8"/>
    <w:rsid w:val="000B3EC9"/>
    <w:rsid w:val="000B427F"/>
    <w:rsid w:val="000B459B"/>
    <w:rsid w:val="000B4A7E"/>
    <w:rsid w:val="000B5BB2"/>
    <w:rsid w:val="000B615B"/>
    <w:rsid w:val="000B65B0"/>
    <w:rsid w:val="000B66DA"/>
    <w:rsid w:val="000B6A3F"/>
    <w:rsid w:val="000B6AC4"/>
    <w:rsid w:val="000B6C0E"/>
    <w:rsid w:val="000B6C13"/>
    <w:rsid w:val="000B6C94"/>
    <w:rsid w:val="000B6FDC"/>
    <w:rsid w:val="000B70BB"/>
    <w:rsid w:val="000B74D4"/>
    <w:rsid w:val="000B7925"/>
    <w:rsid w:val="000B79EC"/>
    <w:rsid w:val="000B7D3E"/>
    <w:rsid w:val="000B7D41"/>
    <w:rsid w:val="000C0263"/>
    <w:rsid w:val="000C037A"/>
    <w:rsid w:val="000C040F"/>
    <w:rsid w:val="000C0E4E"/>
    <w:rsid w:val="000C10AD"/>
    <w:rsid w:val="000C1110"/>
    <w:rsid w:val="000C11C6"/>
    <w:rsid w:val="000C17B1"/>
    <w:rsid w:val="000C18B6"/>
    <w:rsid w:val="000C18FE"/>
    <w:rsid w:val="000C1AA1"/>
    <w:rsid w:val="000C22FD"/>
    <w:rsid w:val="000C23BC"/>
    <w:rsid w:val="000C243D"/>
    <w:rsid w:val="000C2553"/>
    <w:rsid w:val="000C2C75"/>
    <w:rsid w:val="000C321A"/>
    <w:rsid w:val="000C3448"/>
    <w:rsid w:val="000C398C"/>
    <w:rsid w:val="000C3E03"/>
    <w:rsid w:val="000C3E3E"/>
    <w:rsid w:val="000C41ED"/>
    <w:rsid w:val="000C45BE"/>
    <w:rsid w:val="000C463E"/>
    <w:rsid w:val="000C4664"/>
    <w:rsid w:val="000C4867"/>
    <w:rsid w:val="000C508F"/>
    <w:rsid w:val="000C5241"/>
    <w:rsid w:val="000C549B"/>
    <w:rsid w:val="000C5604"/>
    <w:rsid w:val="000C56CA"/>
    <w:rsid w:val="000C58F6"/>
    <w:rsid w:val="000C5968"/>
    <w:rsid w:val="000C6061"/>
    <w:rsid w:val="000C624F"/>
    <w:rsid w:val="000C6BCD"/>
    <w:rsid w:val="000C6FB4"/>
    <w:rsid w:val="000C733A"/>
    <w:rsid w:val="000C7391"/>
    <w:rsid w:val="000C7453"/>
    <w:rsid w:val="000C794C"/>
    <w:rsid w:val="000C7B8F"/>
    <w:rsid w:val="000D02C7"/>
    <w:rsid w:val="000D04EE"/>
    <w:rsid w:val="000D0735"/>
    <w:rsid w:val="000D07ED"/>
    <w:rsid w:val="000D0BC6"/>
    <w:rsid w:val="000D0CCF"/>
    <w:rsid w:val="000D0EC8"/>
    <w:rsid w:val="000D1080"/>
    <w:rsid w:val="000D12A6"/>
    <w:rsid w:val="000D134F"/>
    <w:rsid w:val="000D143E"/>
    <w:rsid w:val="000D1AEC"/>
    <w:rsid w:val="000D1B22"/>
    <w:rsid w:val="000D2162"/>
    <w:rsid w:val="000D2222"/>
    <w:rsid w:val="000D22DD"/>
    <w:rsid w:val="000D2A91"/>
    <w:rsid w:val="000D2ACD"/>
    <w:rsid w:val="000D2BFD"/>
    <w:rsid w:val="000D2C0D"/>
    <w:rsid w:val="000D3729"/>
    <w:rsid w:val="000D3807"/>
    <w:rsid w:val="000D3CDF"/>
    <w:rsid w:val="000D3EB0"/>
    <w:rsid w:val="000D3F95"/>
    <w:rsid w:val="000D4BD6"/>
    <w:rsid w:val="000D4EF1"/>
    <w:rsid w:val="000D51E1"/>
    <w:rsid w:val="000D5292"/>
    <w:rsid w:val="000D542F"/>
    <w:rsid w:val="000D54C4"/>
    <w:rsid w:val="000D577A"/>
    <w:rsid w:val="000D5CCD"/>
    <w:rsid w:val="000D5D99"/>
    <w:rsid w:val="000D6810"/>
    <w:rsid w:val="000D6C76"/>
    <w:rsid w:val="000D6E2E"/>
    <w:rsid w:val="000D6E87"/>
    <w:rsid w:val="000D6FE6"/>
    <w:rsid w:val="000D79F5"/>
    <w:rsid w:val="000D7C17"/>
    <w:rsid w:val="000D7D3C"/>
    <w:rsid w:val="000E0020"/>
    <w:rsid w:val="000E0040"/>
    <w:rsid w:val="000E04FD"/>
    <w:rsid w:val="000E05E5"/>
    <w:rsid w:val="000E07AE"/>
    <w:rsid w:val="000E0B80"/>
    <w:rsid w:val="000E0F46"/>
    <w:rsid w:val="000E12F9"/>
    <w:rsid w:val="000E1845"/>
    <w:rsid w:val="000E1AFF"/>
    <w:rsid w:val="000E1DE7"/>
    <w:rsid w:val="000E20B0"/>
    <w:rsid w:val="000E223E"/>
    <w:rsid w:val="000E2466"/>
    <w:rsid w:val="000E26F1"/>
    <w:rsid w:val="000E2940"/>
    <w:rsid w:val="000E2DA0"/>
    <w:rsid w:val="000E312F"/>
    <w:rsid w:val="000E3278"/>
    <w:rsid w:val="000E3387"/>
    <w:rsid w:val="000E3420"/>
    <w:rsid w:val="000E3430"/>
    <w:rsid w:val="000E366F"/>
    <w:rsid w:val="000E3D46"/>
    <w:rsid w:val="000E41DC"/>
    <w:rsid w:val="000E420F"/>
    <w:rsid w:val="000E4277"/>
    <w:rsid w:val="000E47AC"/>
    <w:rsid w:val="000E503A"/>
    <w:rsid w:val="000E525A"/>
    <w:rsid w:val="000E5591"/>
    <w:rsid w:val="000E5A34"/>
    <w:rsid w:val="000E5F7D"/>
    <w:rsid w:val="000E6041"/>
    <w:rsid w:val="000E62B5"/>
    <w:rsid w:val="000E662E"/>
    <w:rsid w:val="000E6909"/>
    <w:rsid w:val="000E6B85"/>
    <w:rsid w:val="000E6E60"/>
    <w:rsid w:val="000E6F1C"/>
    <w:rsid w:val="000E6FB7"/>
    <w:rsid w:val="000E7350"/>
    <w:rsid w:val="000E745B"/>
    <w:rsid w:val="000E7B7C"/>
    <w:rsid w:val="000F023F"/>
    <w:rsid w:val="000F098D"/>
    <w:rsid w:val="000F0E46"/>
    <w:rsid w:val="000F154F"/>
    <w:rsid w:val="000F1BD8"/>
    <w:rsid w:val="000F1E65"/>
    <w:rsid w:val="000F24A1"/>
    <w:rsid w:val="000F24A3"/>
    <w:rsid w:val="000F2876"/>
    <w:rsid w:val="000F2919"/>
    <w:rsid w:val="000F2FB7"/>
    <w:rsid w:val="000F341F"/>
    <w:rsid w:val="000F363A"/>
    <w:rsid w:val="000F3838"/>
    <w:rsid w:val="000F39AE"/>
    <w:rsid w:val="000F3C2E"/>
    <w:rsid w:val="000F3DCE"/>
    <w:rsid w:val="000F3E1A"/>
    <w:rsid w:val="000F3EDB"/>
    <w:rsid w:val="000F3F4D"/>
    <w:rsid w:val="000F4030"/>
    <w:rsid w:val="000F43D9"/>
    <w:rsid w:val="000F49B7"/>
    <w:rsid w:val="000F4D1A"/>
    <w:rsid w:val="000F5785"/>
    <w:rsid w:val="000F5CD3"/>
    <w:rsid w:val="000F5DF9"/>
    <w:rsid w:val="000F5FF7"/>
    <w:rsid w:val="000F6073"/>
    <w:rsid w:val="000F6439"/>
    <w:rsid w:val="000F6B36"/>
    <w:rsid w:val="000F6DEC"/>
    <w:rsid w:val="000F7060"/>
    <w:rsid w:val="000F7170"/>
    <w:rsid w:val="000F744F"/>
    <w:rsid w:val="000F7849"/>
    <w:rsid w:val="000F7AD4"/>
    <w:rsid w:val="000F7B58"/>
    <w:rsid w:val="000F7F23"/>
    <w:rsid w:val="001006F2"/>
    <w:rsid w:val="00100AED"/>
    <w:rsid w:val="00100E92"/>
    <w:rsid w:val="00101701"/>
    <w:rsid w:val="00101917"/>
    <w:rsid w:val="00101B9B"/>
    <w:rsid w:val="00101BC2"/>
    <w:rsid w:val="00101FDA"/>
    <w:rsid w:val="0010208B"/>
    <w:rsid w:val="00102255"/>
    <w:rsid w:val="00102343"/>
    <w:rsid w:val="001024C6"/>
    <w:rsid w:val="001027C3"/>
    <w:rsid w:val="00102ABC"/>
    <w:rsid w:val="00102AFD"/>
    <w:rsid w:val="00102D54"/>
    <w:rsid w:val="00103AF9"/>
    <w:rsid w:val="0010441F"/>
    <w:rsid w:val="00104479"/>
    <w:rsid w:val="00104728"/>
    <w:rsid w:val="0010496A"/>
    <w:rsid w:val="00104AEE"/>
    <w:rsid w:val="00104BAF"/>
    <w:rsid w:val="00104D97"/>
    <w:rsid w:val="00105314"/>
    <w:rsid w:val="00105777"/>
    <w:rsid w:val="00105951"/>
    <w:rsid w:val="00105CA3"/>
    <w:rsid w:val="00105D1F"/>
    <w:rsid w:val="001063AD"/>
    <w:rsid w:val="00106752"/>
    <w:rsid w:val="001069E7"/>
    <w:rsid w:val="00106BC7"/>
    <w:rsid w:val="00106CDC"/>
    <w:rsid w:val="00106F31"/>
    <w:rsid w:val="00107058"/>
    <w:rsid w:val="001071AB"/>
    <w:rsid w:val="0010724A"/>
    <w:rsid w:val="001076BA"/>
    <w:rsid w:val="00107827"/>
    <w:rsid w:val="00110091"/>
    <w:rsid w:val="0011034D"/>
    <w:rsid w:val="00110748"/>
    <w:rsid w:val="00110B6A"/>
    <w:rsid w:val="00110C23"/>
    <w:rsid w:val="00111085"/>
    <w:rsid w:val="00111635"/>
    <w:rsid w:val="00111904"/>
    <w:rsid w:val="00111B0B"/>
    <w:rsid w:val="001121BA"/>
    <w:rsid w:val="001121FA"/>
    <w:rsid w:val="00112BAF"/>
    <w:rsid w:val="00112BB6"/>
    <w:rsid w:val="00112BE5"/>
    <w:rsid w:val="001136A2"/>
    <w:rsid w:val="001136F6"/>
    <w:rsid w:val="001139C5"/>
    <w:rsid w:val="00113B53"/>
    <w:rsid w:val="00113BAF"/>
    <w:rsid w:val="00113C91"/>
    <w:rsid w:val="00113E14"/>
    <w:rsid w:val="00113F82"/>
    <w:rsid w:val="0011508B"/>
    <w:rsid w:val="001150A8"/>
    <w:rsid w:val="00115546"/>
    <w:rsid w:val="00115750"/>
    <w:rsid w:val="0011595F"/>
    <w:rsid w:val="00115BDF"/>
    <w:rsid w:val="00116176"/>
    <w:rsid w:val="00116427"/>
    <w:rsid w:val="00116AB1"/>
    <w:rsid w:val="00116DAD"/>
    <w:rsid w:val="00116FB4"/>
    <w:rsid w:val="00117574"/>
    <w:rsid w:val="00117717"/>
    <w:rsid w:val="00117C41"/>
    <w:rsid w:val="0012048C"/>
    <w:rsid w:val="001204FC"/>
    <w:rsid w:val="00120A2C"/>
    <w:rsid w:val="00120F4A"/>
    <w:rsid w:val="00120F61"/>
    <w:rsid w:val="00120FEB"/>
    <w:rsid w:val="001210AF"/>
    <w:rsid w:val="001212C9"/>
    <w:rsid w:val="0012135A"/>
    <w:rsid w:val="00121410"/>
    <w:rsid w:val="0012144F"/>
    <w:rsid w:val="00121DE4"/>
    <w:rsid w:val="00121E1C"/>
    <w:rsid w:val="0012263B"/>
    <w:rsid w:val="001226AA"/>
    <w:rsid w:val="00122CDD"/>
    <w:rsid w:val="00122FC6"/>
    <w:rsid w:val="00123245"/>
    <w:rsid w:val="001239CC"/>
    <w:rsid w:val="00123CD0"/>
    <w:rsid w:val="00124225"/>
    <w:rsid w:val="00124607"/>
    <w:rsid w:val="0012476B"/>
    <w:rsid w:val="0012477D"/>
    <w:rsid w:val="0012483F"/>
    <w:rsid w:val="00124897"/>
    <w:rsid w:val="00124967"/>
    <w:rsid w:val="00125076"/>
    <w:rsid w:val="0012513D"/>
    <w:rsid w:val="00125141"/>
    <w:rsid w:val="00125AC8"/>
    <w:rsid w:val="00125B76"/>
    <w:rsid w:val="00125D2F"/>
    <w:rsid w:val="00125D90"/>
    <w:rsid w:val="0012618A"/>
    <w:rsid w:val="00126262"/>
    <w:rsid w:val="001264AC"/>
    <w:rsid w:val="00126620"/>
    <w:rsid w:val="00126867"/>
    <w:rsid w:val="00126E66"/>
    <w:rsid w:val="00127139"/>
    <w:rsid w:val="00127181"/>
    <w:rsid w:val="00127395"/>
    <w:rsid w:val="0012794E"/>
    <w:rsid w:val="00127C84"/>
    <w:rsid w:val="0013003B"/>
    <w:rsid w:val="00130ABA"/>
    <w:rsid w:val="00130B55"/>
    <w:rsid w:val="00131129"/>
    <w:rsid w:val="001312D1"/>
    <w:rsid w:val="001312E2"/>
    <w:rsid w:val="0013137D"/>
    <w:rsid w:val="00131485"/>
    <w:rsid w:val="00131900"/>
    <w:rsid w:val="00131E55"/>
    <w:rsid w:val="0013241C"/>
    <w:rsid w:val="00132592"/>
    <w:rsid w:val="00133101"/>
    <w:rsid w:val="00133884"/>
    <w:rsid w:val="00133D79"/>
    <w:rsid w:val="0013409A"/>
    <w:rsid w:val="0013447D"/>
    <w:rsid w:val="00134C90"/>
    <w:rsid w:val="00134F0C"/>
    <w:rsid w:val="0013513D"/>
    <w:rsid w:val="00135388"/>
    <w:rsid w:val="00135696"/>
    <w:rsid w:val="00135AEC"/>
    <w:rsid w:val="00135BA6"/>
    <w:rsid w:val="00135D7A"/>
    <w:rsid w:val="00135E47"/>
    <w:rsid w:val="00135E8F"/>
    <w:rsid w:val="00136092"/>
    <w:rsid w:val="0013609D"/>
    <w:rsid w:val="00136531"/>
    <w:rsid w:val="001365AE"/>
    <w:rsid w:val="0013661D"/>
    <w:rsid w:val="00136AEA"/>
    <w:rsid w:val="00136DD0"/>
    <w:rsid w:val="00136DD3"/>
    <w:rsid w:val="00136EB9"/>
    <w:rsid w:val="00137097"/>
    <w:rsid w:val="0013711F"/>
    <w:rsid w:val="001371CF"/>
    <w:rsid w:val="001376D7"/>
    <w:rsid w:val="00137A21"/>
    <w:rsid w:val="00137B29"/>
    <w:rsid w:val="00137C45"/>
    <w:rsid w:val="00137D4B"/>
    <w:rsid w:val="00140219"/>
    <w:rsid w:val="001402FD"/>
    <w:rsid w:val="00140314"/>
    <w:rsid w:val="0014031C"/>
    <w:rsid w:val="0014082F"/>
    <w:rsid w:val="00140A48"/>
    <w:rsid w:val="00140F6E"/>
    <w:rsid w:val="001411DD"/>
    <w:rsid w:val="0014126A"/>
    <w:rsid w:val="0014129D"/>
    <w:rsid w:val="0014148F"/>
    <w:rsid w:val="00141579"/>
    <w:rsid w:val="00142069"/>
    <w:rsid w:val="001423BA"/>
    <w:rsid w:val="0014275D"/>
    <w:rsid w:val="0014298A"/>
    <w:rsid w:val="00142E30"/>
    <w:rsid w:val="00142F34"/>
    <w:rsid w:val="00142F57"/>
    <w:rsid w:val="0014316A"/>
    <w:rsid w:val="00143392"/>
    <w:rsid w:val="00143671"/>
    <w:rsid w:val="001437F8"/>
    <w:rsid w:val="001438EA"/>
    <w:rsid w:val="00143A35"/>
    <w:rsid w:val="00143A57"/>
    <w:rsid w:val="00143C04"/>
    <w:rsid w:val="00143C5A"/>
    <w:rsid w:val="00143DD0"/>
    <w:rsid w:val="00143E8D"/>
    <w:rsid w:val="00143F1B"/>
    <w:rsid w:val="0014446E"/>
    <w:rsid w:val="0014479F"/>
    <w:rsid w:val="00144B94"/>
    <w:rsid w:val="0014569E"/>
    <w:rsid w:val="00145A32"/>
    <w:rsid w:val="00145D01"/>
    <w:rsid w:val="00145D9D"/>
    <w:rsid w:val="00145F80"/>
    <w:rsid w:val="00145FF7"/>
    <w:rsid w:val="00146A4C"/>
    <w:rsid w:val="00146AE4"/>
    <w:rsid w:val="00146C74"/>
    <w:rsid w:val="00146D9E"/>
    <w:rsid w:val="00146F36"/>
    <w:rsid w:val="001473C4"/>
    <w:rsid w:val="00147482"/>
    <w:rsid w:val="00147585"/>
    <w:rsid w:val="00147A25"/>
    <w:rsid w:val="00147C45"/>
    <w:rsid w:val="001501D7"/>
    <w:rsid w:val="0015045E"/>
    <w:rsid w:val="00150A96"/>
    <w:rsid w:val="00150EC6"/>
    <w:rsid w:val="00150ECC"/>
    <w:rsid w:val="00151165"/>
    <w:rsid w:val="00151DFA"/>
    <w:rsid w:val="00151E44"/>
    <w:rsid w:val="0015205B"/>
    <w:rsid w:val="00152292"/>
    <w:rsid w:val="00152C6F"/>
    <w:rsid w:val="00152E35"/>
    <w:rsid w:val="00152EB0"/>
    <w:rsid w:val="00153027"/>
    <w:rsid w:val="0015307F"/>
    <w:rsid w:val="001532A4"/>
    <w:rsid w:val="0015383C"/>
    <w:rsid w:val="00153905"/>
    <w:rsid w:val="001544DA"/>
    <w:rsid w:val="00154A48"/>
    <w:rsid w:val="00154A89"/>
    <w:rsid w:val="00154DD5"/>
    <w:rsid w:val="00154FFA"/>
    <w:rsid w:val="00155223"/>
    <w:rsid w:val="0015540C"/>
    <w:rsid w:val="00155784"/>
    <w:rsid w:val="00155ED0"/>
    <w:rsid w:val="00155F30"/>
    <w:rsid w:val="001560DC"/>
    <w:rsid w:val="00156230"/>
    <w:rsid w:val="00156D2A"/>
    <w:rsid w:val="0015742E"/>
    <w:rsid w:val="00157963"/>
    <w:rsid w:val="00157964"/>
    <w:rsid w:val="00157E6F"/>
    <w:rsid w:val="00157ECB"/>
    <w:rsid w:val="00160175"/>
    <w:rsid w:val="00160641"/>
    <w:rsid w:val="0016092E"/>
    <w:rsid w:val="00160CEB"/>
    <w:rsid w:val="00160D8C"/>
    <w:rsid w:val="0016103C"/>
    <w:rsid w:val="001615B7"/>
    <w:rsid w:val="00161659"/>
    <w:rsid w:val="001616CB"/>
    <w:rsid w:val="001619E6"/>
    <w:rsid w:val="00161DA4"/>
    <w:rsid w:val="00161E2D"/>
    <w:rsid w:val="001621EF"/>
    <w:rsid w:val="001624B0"/>
    <w:rsid w:val="0016263B"/>
    <w:rsid w:val="00162ABA"/>
    <w:rsid w:val="00162AC3"/>
    <w:rsid w:val="00162DDF"/>
    <w:rsid w:val="00162F2A"/>
    <w:rsid w:val="00162FF4"/>
    <w:rsid w:val="001631A9"/>
    <w:rsid w:val="00163243"/>
    <w:rsid w:val="001637A1"/>
    <w:rsid w:val="00163BF1"/>
    <w:rsid w:val="00163C01"/>
    <w:rsid w:val="00163D1F"/>
    <w:rsid w:val="0016436C"/>
    <w:rsid w:val="0016444F"/>
    <w:rsid w:val="0016456F"/>
    <w:rsid w:val="00164878"/>
    <w:rsid w:val="00164A1E"/>
    <w:rsid w:val="00164C34"/>
    <w:rsid w:val="00164F57"/>
    <w:rsid w:val="00164FAC"/>
    <w:rsid w:val="00165003"/>
    <w:rsid w:val="00165DD6"/>
    <w:rsid w:val="00166196"/>
    <w:rsid w:val="001664BB"/>
    <w:rsid w:val="00166F66"/>
    <w:rsid w:val="00167475"/>
    <w:rsid w:val="00167B8E"/>
    <w:rsid w:val="00167EA0"/>
    <w:rsid w:val="00167FF6"/>
    <w:rsid w:val="00170138"/>
    <w:rsid w:val="001701CA"/>
    <w:rsid w:val="001702A3"/>
    <w:rsid w:val="00170361"/>
    <w:rsid w:val="0017042D"/>
    <w:rsid w:val="001706AA"/>
    <w:rsid w:val="0017098E"/>
    <w:rsid w:val="001710D9"/>
    <w:rsid w:val="00171261"/>
    <w:rsid w:val="00171283"/>
    <w:rsid w:val="00171427"/>
    <w:rsid w:val="00171C3F"/>
    <w:rsid w:val="00171DAF"/>
    <w:rsid w:val="0017229E"/>
    <w:rsid w:val="0017242D"/>
    <w:rsid w:val="00172BE9"/>
    <w:rsid w:val="00172C42"/>
    <w:rsid w:val="00172E1B"/>
    <w:rsid w:val="00173014"/>
    <w:rsid w:val="00173160"/>
    <w:rsid w:val="00173290"/>
    <w:rsid w:val="001736C2"/>
    <w:rsid w:val="00173BFB"/>
    <w:rsid w:val="00173F4F"/>
    <w:rsid w:val="0017462A"/>
    <w:rsid w:val="00174E61"/>
    <w:rsid w:val="0017518F"/>
    <w:rsid w:val="00175289"/>
    <w:rsid w:val="001752C0"/>
    <w:rsid w:val="0017578F"/>
    <w:rsid w:val="00175830"/>
    <w:rsid w:val="00175B91"/>
    <w:rsid w:val="00175CFC"/>
    <w:rsid w:val="00175D0C"/>
    <w:rsid w:val="00175D85"/>
    <w:rsid w:val="00175E8F"/>
    <w:rsid w:val="0017601F"/>
    <w:rsid w:val="0017607A"/>
    <w:rsid w:val="00176479"/>
    <w:rsid w:val="00176574"/>
    <w:rsid w:val="001765F3"/>
    <w:rsid w:val="00176A14"/>
    <w:rsid w:val="00176AF6"/>
    <w:rsid w:val="00177104"/>
    <w:rsid w:val="00177593"/>
    <w:rsid w:val="00177819"/>
    <w:rsid w:val="00177B0B"/>
    <w:rsid w:val="00177C38"/>
    <w:rsid w:val="00177CFE"/>
    <w:rsid w:val="00177EE6"/>
    <w:rsid w:val="001808E8"/>
    <w:rsid w:val="0018091B"/>
    <w:rsid w:val="00180932"/>
    <w:rsid w:val="00180A1B"/>
    <w:rsid w:val="00180C76"/>
    <w:rsid w:val="00181096"/>
    <w:rsid w:val="001812A7"/>
    <w:rsid w:val="001813A7"/>
    <w:rsid w:val="001819C2"/>
    <w:rsid w:val="0018208B"/>
    <w:rsid w:val="00182096"/>
    <w:rsid w:val="00182593"/>
    <w:rsid w:val="001828D0"/>
    <w:rsid w:val="00182E26"/>
    <w:rsid w:val="00182EAC"/>
    <w:rsid w:val="00182FAF"/>
    <w:rsid w:val="00183087"/>
    <w:rsid w:val="0018317F"/>
    <w:rsid w:val="001831E4"/>
    <w:rsid w:val="00183417"/>
    <w:rsid w:val="001834FC"/>
    <w:rsid w:val="00183501"/>
    <w:rsid w:val="00183580"/>
    <w:rsid w:val="001835EC"/>
    <w:rsid w:val="0018366C"/>
    <w:rsid w:val="001839E8"/>
    <w:rsid w:val="00183C61"/>
    <w:rsid w:val="00184119"/>
    <w:rsid w:val="001843FE"/>
    <w:rsid w:val="001844D8"/>
    <w:rsid w:val="00184754"/>
    <w:rsid w:val="001848FF"/>
    <w:rsid w:val="00184C77"/>
    <w:rsid w:val="00184CFF"/>
    <w:rsid w:val="00184D31"/>
    <w:rsid w:val="00184D61"/>
    <w:rsid w:val="00184ED0"/>
    <w:rsid w:val="00184FA0"/>
    <w:rsid w:val="001855AD"/>
    <w:rsid w:val="00185792"/>
    <w:rsid w:val="00185957"/>
    <w:rsid w:val="00185C47"/>
    <w:rsid w:val="0018608A"/>
    <w:rsid w:val="001863D5"/>
    <w:rsid w:val="00186629"/>
    <w:rsid w:val="00186FB8"/>
    <w:rsid w:val="00186FD4"/>
    <w:rsid w:val="001871F1"/>
    <w:rsid w:val="001872BD"/>
    <w:rsid w:val="001873FA"/>
    <w:rsid w:val="0018754E"/>
    <w:rsid w:val="00187693"/>
    <w:rsid w:val="00187A34"/>
    <w:rsid w:val="00187DFE"/>
    <w:rsid w:val="001907A0"/>
    <w:rsid w:val="001909EA"/>
    <w:rsid w:val="00190A7E"/>
    <w:rsid w:val="00190BAC"/>
    <w:rsid w:val="00190F89"/>
    <w:rsid w:val="00191196"/>
    <w:rsid w:val="00191462"/>
    <w:rsid w:val="001916BE"/>
    <w:rsid w:val="00191925"/>
    <w:rsid w:val="00191C2B"/>
    <w:rsid w:val="00191F5D"/>
    <w:rsid w:val="00192332"/>
    <w:rsid w:val="00192427"/>
    <w:rsid w:val="00192667"/>
    <w:rsid w:val="001927BA"/>
    <w:rsid w:val="00193225"/>
    <w:rsid w:val="00193579"/>
    <w:rsid w:val="00194256"/>
    <w:rsid w:val="001943CB"/>
    <w:rsid w:val="00194B05"/>
    <w:rsid w:val="00194B3F"/>
    <w:rsid w:val="0019518A"/>
    <w:rsid w:val="0019520F"/>
    <w:rsid w:val="00195214"/>
    <w:rsid w:val="0019548C"/>
    <w:rsid w:val="001956D7"/>
    <w:rsid w:val="001960A1"/>
    <w:rsid w:val="001960EB"/>
    <w:rsid w:val="00196207"/>
    <w:rsid w:val="00196366"/>
    <w:rsid w:val="001963B1"/>
    <w:rsid w:val="001966C8"/>
    <w:rsid w:val="0019680E"/>
    <w:rsid w:val="0019688A"/>
    <w:rsid w:val="00196C0C"/>
    <w:rsid w:val="00196EB7"/>
    <w:rsid w:val="00196F8D"/>
    <w:rsid w:val="0019705B"/>
    <w:rsid w:val="0019732A"/>
    <w:rsid w:val="001973AC"/>
    <w:rsid w:val="00197428"/>
    <w:rsid w:val="00197645"/>
    <w:rsid w:val="0019766B"/>
    <w:rsid w:val="00197758"/>
    <w:rsid w:val="0019780A"/>
    <w:rsid w:val="00197BF4"/>
    <w:rsid w:val="00197E5D"/>
    <w:rsid w:val="001A0137"/>
    <w:rsid w:val="001A0367"/>
    <w:rsid w:val="001A084F"/>
    <w:rsid w:val="001A11AE"/>
    <w:rsid w:val="001A1354"/>
    <w:rsid w:val="001A13B2"/>
    <w:rsid w:val="001A143D"/>
    <w:rsid w:val="001A1B7A"/>
    <w:rsid w:val="001A20AE"/>
    <w:rsid w:val="001A22C7"/>
    <w:rsid w:val="001A2601"/>
    <w:rsid w:val="001A27D2"/>
    <w:rsid w:val="001A2CC7"/>
    <w:rsid w:val="001A2E56"/>
    <w:rsid w:val="001A3540"/>
    <w:rsid w:val="001A3624"/>
    <w:rsid w:val="001A3CC8"/>
    <w:rsid w:val="001A3DC7"/>
    <w:rsid w:val="001A3E96"/>
    <w:rsid w:val="001A3EFD"/>
    <w:rsid w:val="001A40BE"/>
    <w:rsid w:val="001A42A0"/>
    <w:rsid w:val="001A4555"/>
    <w:rsid w:val="001A5268"/>
    <w:rsid w:val="001A56D0"/>
    <w:rsid w:val="001A570B"/>
    <w:rsid w:val="001A5A54"/>
    <w:rsid w:val="001A5F47"/>
    <w:rsid w:val="001A6102"/>
    <w:rsid w:val="001A72C9"/>
    <w:rsid w:val="001A7A0E"/>
    <w:rsid w:val="001A7A40"/>
    <w:rsid w:val="001A7E52"/>
    <w:rsid w:val="001A7E84"/>
    <w:rsid w:val="001A7ECE"/>
    <w:rsid w:val="001B0B96"/>
    <w:rsid w:val="001B0F06"/>
    <w:rsid w:val="001B1635"/>
    <w:rsid w:val="001B188F"/>
    <w:rsid w:val="001B1912"/>
    <w:rsid w:val="001B1A2F"/>
    <w:rsid w:val="001B1E31"/>
    <w:rsid w:val="001B20B6"/>
    <w:rsid w:val="001B21EB"/>
    <w:rsid w:val="001B22DA"/>
    <w:rsid w:val="001B2540"/>
    <w:rsid w:val="001B2574"/>
    <w:rsid w:val="001B2696"/>
    <w:rsid w:val="001B26F3"/>
    <w:rsid w:val="001B2772"/>
    <w:rsid w:val="001B27E4"/>
    <w:rsid w:val="001B2AA1"/>
    <w:rsid w:val="001B3544"/>
    <w:rsid w:val="001B35F2"/>
    <w:rsid w:val="001B39C7"/>
    <w:rsid w:val="001B3E12"/>
    <w:rsid w:val="001B3F9A"/>
    <w:rsid w:val="001B3FA1"/>
    <w:rsid w:val="001B40BB"/>
    <w:rsid w:val="001B4158"/>
    <w:rsid w:val="001B4207"/>
    <w:rsid w:val="001B425B"/>
    <w:rsid w:val="001B474F"/>
    <w:rsid w:val="001B47A9"/>
    <w:rsid w:val="001B495D"/>
    <w:rsid w:val="001B4BE2"/>
    <w:rsid w:val="001B4E58"/>
    <w:rsid w:val="001B5764"/>
    <w:rsid w:val="001B5901"/>
    <w:rsid w:val="001B59C2"/>
    <w:rsid w:val="001B59DA"/>
    <w:rsid w:val="001B5D7C"/>
    <w:rsid w:val="001B609D"/>
    <w:rsid w:val="001B6293"/>
    <w:rsid w:val="001B647A"/>
    <w:rsid w:val="001B64BC"/>
    <w:rsid w:val="001B64E6"/>
    <w:rsid w:val="001B7291"/>
    <w:rsid w:val="001B79C0"/>
    <w:rsid w:val="001B7B2E"/>
    <w:rsid w:val="001B7EC3"/>
    <w:rsid w:val="001C00FC"/>
    <w:rsid w:val="001C0822"/>
    <w:rsid w:val="001C097A"/>
    <w:rsid w:val="001C09F1"/>
    <w:rsid w:val="001C160A"/>
    <w:rsid w:val="001C196C"/>
    <w:rsid w:val="001C1A94"/>
    <w:rsid w:val="001C1EF5"/>
    <w:rsid w:val="001C202A"/>
    <w:rsid w:val="001C230B"/>
    <w:rsid w:val="001C255B"/>
    <w:rsid w:val="001C27A9"/>
    <w:rsid w:val="001C2AF6"/>
    <w:rsid w:val="001C2D9E"/>
    <w:rsid w:val="001C2EA3"/>
    <w:rsid w:val="001C38B7"/>
    <w:rsid w:val="001C4050"/>
    <w:rsid w:val="001C4384"/>
    <w:rsid w:val="001C4AF1"/>
    <w:rsid w:val="001C4BE4"/>
    <w:rsid w:val="001C505A"/>
    <w:rsid w:val="001C530D"/>
    <w:rsid w:val="001C5E20"/>
    <w:rsid w:val="001C5E6E"/>
    <w:rsid w:val="001C5F2E"/>
    <w:rsid w:val="001C694B"/>
    <w:rsid w:val="001C6C81"/>
    <w:rsid w:val="001C6D64"/>
    <w:rsid w:val="001C6EC0"/>
    <w:rsid w:val="001C714E"/>
    <w:rsid w:val="001C7188"/>
    <w:rsid w:val="001C7231"/>
    <w:rsid w:val="001C7834"/>
    <w:rsid w:val="001D0049"/>
    <w:rsid w:val="001D01AE"/>
    <w:rsid w:val="001D024E"/>
    <w:rsid w:val="001D077F"/>
    <w:rsid w:val="001D15AA"/>
    <w:rsid w:val="001D1C7F"/>
    <w:rsid w:val="001D21DA"/>
    <w:rsid w:val="001D3178"/>
    <w:rsid w:val="001D351B"/>
    <w:rsid w:val="001D3702"/>
    <w:rsid w:val="001D3709"/>
    <w:rsid w:val="001D39D2"/>
    <w:rsid w:val="001D3C35"/>
    <w:rsid w:val="001D42BF"/>
    <w:rsid w:val="001D48C1"/>
    <w:rsid w:val="001D4A12"/>
    <w:rsid w:val="001D4BEC"/>
    <w:rsid w:val="001D4C9B"/>
    <w:rsid w:val="001D51CE"/>
    <w:rsid w:val="001D5317"/>
    <w:rsid w:val="001D5468"/>
    <w:rsid w:val="001D5777"/>
    <w:rsid w:val="001D5C83"/>
    <w:rsid w:val="001D603C"/>
    <w:rsid w:val="001D67C4"/>
    <w:rsid w:val="001D67FE"/>
    <w:rsid w:val="001D6B71"/>
    <w:rsid w:val="001D6C5B"/>
    <w:rsid w:val="001D6DF6"/>
    <w:rsid w:val="001D6F83"/>
    <w:rsid w:val="001D70A4"/>
    <w:rsid w:val="001D73E3"/>
    <w:rsid w:val="001D758F"/>
    <w:rsid w:val="001D75F1"/>
    <w:rsid w:val="001D7682"/>
    <w:rsid w:val="001D7A65"/>
    <w:rsid w:val="001D7B57"/>
    <w:rsid w:val="001D7BE0"/>
    <w:rsid w:val="001D7E9D"/>
    <w:rsid w:val="001D7EBA"/>
    <w:rsid w:val="001E0026"/>
    <w:rsid w:val="001E005B"/>
    <w:rsid w:val="001E053A"/>
    <w:rsid w:val="001E0CA7"/>
    <w:rsid w:val="001E1334"/>
    <w:rsid w:val="001E142E"/>
    <w:rsid w:val="001E144D"/>
    <w:rsid w:val="001E155D"/>
    <w:rsid w:val="001E176B"/>
    <w:rsid w:val="001E19AD"/>
    <w:rsid w:val="001E1F27"/>
    <w:rsid w:val="001E20FE"/>
    <w:rsid w:val="001E259E"/>
    <w:rsid w:val="001E2A6D"/>
    <w:rsid w:val="001E2C86"/>
    <w:rsid w:val="001E2DF0"/>
    <w:rsid w:val="001E3297"/>
    <w:rsid w:val="001E33F7"/>
    <w:rsid w:val="001E35C3"/>
    <w:rsid w:val="001E37AA"/>
    <w:rsid w:val="001E37D3"/>
    <w:rsid w:val="001E4141"/>
    <w:rsid w:val="001E426F"/>
    <w:rsid w:val="001E43E5"/>
    <w:rsid w:val="001E4959"/>
    <w:rsid w:val="001E4AB1"/>
    <w:rsid w:val="001E4CCC"/>
    <w:rsid w:val="001E4DA2"/>
    <w:rsid w:val="001E4F63"/>
    <w:rsid w:val="001E57B5"/>
    <w:rsid w:val="001E5A93"/>
    <w:rsid w:val="001E5D38"/>
    <w:rsid w:val="001E5E63"/>
    <w:rsid w:val="001E5EA9"/>
    <w:rsid w:val="001E677B"/>
    <w:rsid w:val="001E6840"/>
    <w:rsid w:val="001E6BD1"/>
    <w:rsid w:val="001E6EDC"/>
    <w:rsid w:val="001E73DE"/>
    <w:rsid w:val="001F0049"/>
    <w:rsid w:val="001F00D1"/>
    <w:rsid w:val="001F01D6"/>
    <w:rsid w:val="001F03A3"/>
    <w:rsid w:val="001F06B9"/>
    <w:rsid w:val="001F0997"/>
    <w:rsid w:val="001F0A97"/>
    <w:rsid w:val="001F0A99"/>
    <w:rsid w:val="001F0DC5"/>
    <w:rsid w:val="001F1095"/>
    <w:rsid w:val="001F1299"/>
    <w:rsid w:val="001F14DF"/>
    <w:rsid w:val="001F1507"/>
    <w:rsid w:val="001F207C"/>
    <w:rsid w:val="001F2088"/>
    <w:rsid w:val="001F22F3"/>
    <w:rsid w:val="001F29AE"/>
    <w:rsid w:val="001F2AB3"/>
    <w:rsid w:val="001F2CEA"/>
    <w:rsid w:val="001F32A7"/>
    <w:rsid w:val="001F385D"/>
    <w:rsid w:val="001F3BFF"/>
    <w:rsid w:val="001F3CD9"/>
    <w:rsid w:val="001F3F4E"/>
    <w:rsid w:val="001F4158"/>
    <w:rsid w:val="001F4520"/>
    <w:rsid w:val="001F45C6"/>
    <w:rsid w:val="001F4A79"/>
    <w:rsid w:val="001F4BF3"/>
    <w:rsid w:val="001F4E40"/>
    <w:rsid w:val="001F57E2"/>
    <w:rsid w:val="001F5CC3"/>
    <w:rsid w:val="001F5DB3"/>
    <w:rsid w:val="001F5F28"/>
    <w:rsid w:val="001F63F8"/>
    <w:rsid w:val="001F6543"/>
    <w:rsid w:val="001F6889"/>
    <w:rsid w:val="001F6AFC"/>
    <w:rsid w:val="001F6E41"/>
    <w:rsid w:val="001F70CF"/>
    <w:rsid w:val="001F7308"/>
    <w:rsid w:val="001F7461"/>
    <w:rsid w:val="001F7742"/>
    <w:rsid w:val="001F78F1"/>
    <w:rsid w:val="001F7CAF"/>
    <w:rsid w:val="001F7D91"/>
    <w:rsid w:val="001F7E56"/>
    <w:rsid w:val="001F7F01"/>
    <w:rsid w:val="001F7FE0"/>
    <w:rsid w:val="002003B0"/>
    <w:rsid w:val="002003DB"/>
    <w:rsid w:val="002009DE"/>
    <w:rsid w:val="0020136C"/>
    <w:rsid w:val="0020142B"/>
    <w:rsid w:val="00201628"/>
    <w:rsid w:val="00201781"/>
    <w:rsid w:val="0020185F"/>
    <w:rsid w:val="00201865"/>
    <w:rsid w:val="00201A65"/>
    <w:rsid w:val="00201D02"/>
    <w:rsid w:val="00201F00"/>
    <w:rsid w:val="0020222D"/>
    <w:rsid w:val="002029DC"/>
    <w:rsid w:val="00203303"/>
    <w:rsid w:val="0020334E"/>
    <w:rsid w:val="00203483"/>
    <w:rsid w:val="002037B2"/>
    <w:rsid w:val="00203AAD"/>
    <w:rsid w:val="00203BC0"/>
    <w:rsid w:val="00203FE0"/>
    <w:rsid w:val="00204100"/>
    <w:rsid w:val="00204621"/>
    <w:rsid w:val="00204CE2"/>
    <w:rsid w:val="00205693"/>
    <w:rsid w:val="00205950"/>
    <w:rsid w:val="00205A89"/>
    <w:rsid w:val="00205C0D"/>
    <w:rsid w:val="00205DA5"/>
    <w:rsid w:val="00206263"/>
    <w:rsid w:val="0020650C"/>
    <w:rsid w:val="00206AF2"/>
    <w:rsid w:val="00206F45"/>
    <w:rsid w:val="00207E25"/>
    <w:rsid w:val="00207F7B"/>
    <w:rsid w:val="00207F81"/>
    <w:rsid w:val="00210147"/>
    <w:rsid w:val="002105C1"/>
    <w:rsid w:val="0021062E"/>
    <w:rsid w:val="002106A7"/>
    <w:rsid w:val="0021079F"/>
    <w:rsid w:val="00210948"/>
    <w:rsid w:val="002109BE"/>
    <w:rsid w:val="002109C0"/>
    <w:rsid w:val="002109F5"/>
    <w:rsid w:val="00210A98"/>
    <w:rsid w:val="00210C92"/>
    <w:rsid w:val="00210D88"/>
    <w:rsid w:val="00210DED"/>
    <w:rsid w:val="00211167"/>
    <w:rsid w:val="0021134C"/>
    <w:rsid w:val="002113A3"/>
    <w:rsid w:val="00211A60"/>
    <w:rsid w:val="00212185"/>
    <w:rsid w:val="00212205"/>
    <w:rsid w:val="00212432"/>
    <w:rsid w:val="0021243C"/>
    <w:rsid w:val="00212677"/>
    <w:rsid w:val="002126DA"/>
    <w:rsid w:val="00212784"/>
    <w:rsid w:val="00212841"/>
    <w:rsid w:val="00212A87"/>
    <w:rsid w:val="00212AA3"/>
    <w:rsid w:val="00212BFA"/>
    <w:rsid w:val="00212E05"/>
    <w:rsid w:val="00213107"/>
    <w:rsid w:val="00213299"/>
    <w:rsid w:val="00213791"/>
    <w:rsid w:val="002139BD"/>
    <w:rsid w:val="00213A05"/>
    <w:rsid w:val="00214548"/>
    <w:rsid w:val="00214BF3"/>
    <w:rsid w:val="002153E3"/>
    <w:rsid w:val="00215474"/>
    <w:rsid w:val="002154AB"/>
    <w:rsid w:val="00215716"/>
    <w:rsid w:val="002163E0"/>
    <w:rsid w:val="00216571"/>
    <w:rsid w:val="00216A25"/>
    <w:rsid w:val="00216B10"/>
    <w:rsid w:val="00216BC3"/>
    <w:rsid w:val="00216FEB"/>
    <w:rsid w:val="002173DB"/>
    <w:rsid w:val="0021751F"/>
    <w:rsid w:val="002175E8"/>
    <w:rsid w:val="00217903"/>
    <w:rsid w:val="002179B2"/>
    <w:rsid w:val="00217BE8"/>
    <w:rsid w:val="00217F2A"/>
    <w:rsid w:val="00220093"/>
    <w:rsid w:val="0022029D"/>
    <w:rsid w:val="0022065B"/>
    <w:rsid w:val="002206EA"/>
    <w:rsid w:val="00220AFD"/>
    <w:rsid w:val="00220BB8"/>
    <w:rsid w:val="002210F4"/>
    <w:rsid w:val="00221615"/>
    <w:rsid w:val="002216E0"/>
    <w:rsid w:val="0022178D"/>
    <w:rsid w:val="0022179D"/>
    <w:rsid w:val="0022185C"/>
    <w:rsid w:val="002218A2"/>
    <w:rsid w:val="002218A4"/>
    <w:rsid w:val="002219C4"/>
    <w:rsid w:val="00221DB6"/>
    <w:rsid w:val="00221ED8"/>
    <w:rsid w:val="0022223D"/>
    <w:rsid w:val="002227D9"/>
    <w:rsid w:val="00222A7E"/>
    <w:rsid w:val="00222BE0"/>
    <w:rsid w:val="00222F82"/>
    <w:rsid w:val="00223142"/>
    <w:rsid w:val="00223956"/>
    <w:rsid w:val="00223AD3"/>
    <w:rsid w:val="00223BA0"/>
    <w:rsid w:val="0022431D"/>
    <w:rsid w:val="002246F7"/>
    <w:rsid w:val="00224B31"/>
    <w:rsid w:val="002251C6"/>
    <w:rsid w:val="002254D0"/>
    <w:rsid w:val="00225793"/>
    <w:rsid w:val="00225967"/>
    <w:rsid w:val="002259F3"/>
    <w:rsid w:val="00226188"/>
    <w:rsid w:val="002264DD"/>
    <w:rsid w:val="00226C84"/>
    <w:rsid w:val="002272CF"/>
    <w:rsid w:val="00227320"/>
    <w:rsid w:val="00227424"/>
    <w:rsid w:val="002276C4"/>
    <w:rsid w:val="00230033"/>
    <w:rsid w:val="002300BB"/>
    <w:rsid w:val="002304FF"/>
    <w:rsid w:val="002309A7"/>
    <w:rsid w:val="00230CE2"/>
    <w:rsid w:val="002311B8"/>
    <w:rsid w:val="002314D5"/>
    <w:rsid w:val="00231664"/>
    <w:rsid w:val="00231949"/>
    <w:rsid w:val="00231B39"/>
    <w:rsid w:val="00231BFE"/>
    <w:rsid w:val="00231F22"/>
    <w:rsid w:val="00231FBD"/>
    <w:rsid w:val="00232288"/>
    <w:rsid w:val="0023231A"/>
    <w:rsid w:val="00232763"/>
    <w:rsid w:val="00232A2E"/>
    <w:rsid w:val="00232FA9"/>
    <w:rsid w:val="00233082"/>
    <w:rsid w:val="00233180"/>
    <w:rsid w:val="00233474"/>
    <w:rsid w:val="00233674"/>
    <w:rsid w:val="002336C5"/>
    <w:rsid w:val="00233E42"/>
    <w:rsid w:val="00233E7F"/>
    <w:rsid w:val="00234110"/>
    <w:rsid w:val="00234120"/>
    <w:rsid w:val="002343F1"/>
    <w:rsid w:val="00234437"/>
    <w:rsid w:val="002349CF"/>
    <w:rsid w:val="002349ED"/>
    <w:rsid w:val="00234F4A"/>
    <w:rsid w:val="0023538F"/>
    <w:rsid w:val="002355D3"/>
    <w:rsid w:val="002358F8"/>
    <w:rsid w:val="00235AE2"/>
    <w:rsid w:val="00236294"/>
    <w:rsid w:val="002368F6"/>
    <w:rsid w:val="00236F99"/>
    <w:rsid w:val="0023731C"/>
    <w:rsid w:val="00237681"/>
    <w:rsid w:val="002377C2"/>
    <w:rsid w:val="002378CB"/>
    <w:rsid w:val="00237963"/>
    <w:rsid w:val="0024056B"/>
    <w:rsid w:val="00240682"/>
    <w:rsid w:val="002406E0"/>
    <w:rsid w:val="00240D1D"/>
    <w:rsid w:val="00240EB9"/>
    <w:rsid w:val="0024119A"/>
    <w:rsid w:val="002414B9"/>
    <w:rsid w:val="0024151C"/>
    <w:rsid w:val="00241810"/>
    <w:rsid w:val="00241A63"/>
    <w:rsid w:val="00241C3E"/>
    <w:rsid w:val="00241CF4"/>
    <w:rsid w:val="00241E2B"/>
    <w:rsid w:val="00242439"/>
    <w:rsid w:val="00242A5F"/>
    <w:rsid w:val="00242BC3"/>
    <w:rsid w:val="00242C51"/>
    <w:rsid w:val="00242D3A"/>
    <w:rsid w:val="00242D74"/>
    <w:rsid w:val="0024339F"/>
    <w:rsid w:val="002434A9"/>
    <w:rsid w:val="00243535"/>
    <w:rsid w:val="00243EAD"/>
    <w:rsid w:val="0024442A"/>
    <w:rsid w:val="00244709"/>
    <w:rsid w:val="00244A0D"/>
    <w:rsid w:val="00244AE7"/>
    <w:rsid w:val="00244E54"/>
    <w:rsid w:val="002452CA"/>
    <w:rsid w:val="00245571"/>
    <w:rsid w:val="00245695"/>
    <w:rsid w:val="00245DB2"/>
    <w:rsid w:val="00245F5B"/>
    <w:rsid w:val="00246195"/>
    <w:rsid w:val="002467C2"/>
    <w:rsid w:val="002469EA"/>
    <w:rsid w:val="00246D63"/>
    <w:rsid w:val="00246DC2"/>
    <w:rsid w:val="0024709B"/>
    <w:rsid w:val="00247638"/>
    <w:rsid w:val="0024768E"/>
    <w:rsid w:val="0024776A"/>
    <w:rsid w:val="0024778E"/>
    <w:rsid w:val="0024784E"/>
    <w:rsid w:val="002479A4"/>
    <w:rsid w:val="002479B9"/>
    <w:rsid w:val="00247BCC"/>
    <w:rsid w:val="00247F3C"/>
    <w:rsid w:val="00250253"/>
    <w:rsid w:val="002504FE"/>
    <w:rsid w:val="00250C9F"/>
    <w:rsid w:val="00250EAA"/>
    <w:rsid w:val="00251099"/>
    <w:rsid w:val="002514C9"/>
    <w:rsid w:val="0025172B"/>
    <w:rsid w:val="00251984"/>
    <w:rsid w:val="00251A60"/>
    <w:rsid w:val="00251CDB"/>
    <w:rsid w:val="00251D1C"/>
    <w:rsid w:val="00251EFA"/>
    <w:rsid w:val="00252586"/>
    <w:rsid w:val="002525C6"/>
    <w:rsid w:val="002528F9"/>
    <w:rsid w:val="00252B28"/>
    <w:rsid w:val="00252BAF"/>
    <w:rsid w:val="00252CF7"/>
    <w:rsid w:val="00252D36"/>
    <w:rsid w:val="002530F8"/>
    <w:rsid w:val="002539C0"/>
    <w:rsid w:val="00253E19"/>
    <w:rsid w:val="00253F11"/>
    <w:rsid w:val="002542CD"/>
    <w:rsid w:val="00254597"/>
    <w:rsid w:val="00254AD2"/>
    <w:rsid w:val="00254E63"/>
    <w:rsid w:val="0025508A"/>
    <w:rsid w:val="002551C0"/>
    <w:rsid w:val="002551D2"/>
    <w:rsid w:val="002554F4"/>
    <w:rsid w:val="0025560B"/>
    <w:rsid w:val="002557C7"/>
    <w:rsid w:val="00255BC0"/>
    <w:rsid w:val="00256069"/>
    <w:rsid w:val="002562B9"/>
    <w:rsid w:val="00256495"/>
    <w:rsid w:val="0025651F"/>
    <w:rsid w:val="00256E1E"/>
    <w:rsid w:val="00256EE8"/>
    <w:rsid w:val="00257080"/>
    <w:rsid w:val="002577A0"/>
    <w:rsid w:val="002579AC"/>
    <w:rsid w:val="00257DF6"/>
    <w:rsid w:val="002601E8"/>
    <w:rsid w:val="0026033F"/>
    <w:rsid w:val="00260386"/>
    <w:rsid w:val="00260651"/>
    <w:rsid w:val="00260742"/>
    <w:rsid w:val="0026078A"/>
    <w:rsid w:val="002609BB"/>
    <w:rsid w:val="00260D0A"/>
    <w:rsid w:val="002610F3"/>
    <w:rsid w:val="00261118"/>
    <w:rsid w:val="00261261"/>
    <w:rsid w:val="00261279"/>
    <w:rsid w:val="0026187B"/>
    <w:rsid w:val="00261A18"/>
    <w:rsid w:val="00261C2C"/>
    <w:rsid w:val="00261D48"/>
    <w:rsid w:val="0026201C"/>
    <w:rsid w:val="00262316"/>
    <w:rsid w:val="0026266D"/>
    <w:rsid w:val="0026278D"/>
    <w:rsid w:val="00262803"/>
    <w:rsid w:val="0026289F"/>
    <w:rsid w:val="00262EC5"/>
    <w:rsid w:val="002630DF"/>
    <w:rsid w:val="00263619"/>
    <w:rsid w:val="002637FC"/>
    <w:rsid w:val="00263A57"/>
    <w:rsid w:val="00263DC4"/>
    <w:rsid w:val="00264A3D"/>
    <w:rsid w:val="00264A5E"/>
    <w:rsid w:val="00264B01"/>
    <w:rsid w:val="00265193"/>
    <w:rsid w:val="00265249"/>
    <w:rsid w:val="002652EE"/>
    <w:rsid w:val="002656F3"/>
    <w:rsid w:val="00265736"/>
    <w:rsid w:val="00265739"/>
    <w:rsid w:val="00265830"/>
    <w:rsid w:val="00265B2D"/>
    <w:rsid w:val="00265B74"/>
    <w:rsid w:val="00265CF4"/>
    <w:rsid w:val="002660E7"/>
    <w:rsid w:val="002663A6"/>
    <w:rsid w:val="00266436"/>
    <w:rsid w:val="002665F7"/>
    <w:rsid w:val="00266749"/>
    <w:rsid w:val="00266816"/>
    <w:rsid w:val="00266AE8"/>
    <w:rsid w:val="00266B7D"/>
    <w:rsid w:val="00266CF4"/>
    <w:rsid w:val="00266D0B"/>
    <w:rsid w:val="0026700F"/>
    <w:rsid w:val="0026790D"/>
    <w:rsid w:val="00267B57"/>
    <w:rsid w:val="0027009D"/>
    <w:rsid w:val="00270562"/>
    <w:rsid w:val="002706AA"/>
    <w:rsid w:val="002708D5"/>
    <w:rsid w:val="00270C7F"/>
    <w:rsid w:val="002711E2"/>
    <w:rsid w:val="00271439"/>
    <w:rsid w:val="00271D40"/>
    <w:rsid w:val="002724A5"/>
    <w:rsid w:val="00272916"/>
    <w:rsid w:val="00272C18"/>
    <w:rsid w:val="00272EF5"/>
    <w:rsid w:val="002736CA"/>
    <w:rsid w:val="0027391A"/>
    <w:rsid w:val="00273B49"/>
    <w:rsid w:val="00273C12"/>
    <w:rsid w:val="00273D39"/>
    <w:rsid w:val="00273D64"/>
    <w:rsid w:val="00274014"/>
    <w:rsid w:val="002741B7"/>
    <w:rsid w:val="00274470"/>
    <w:rsid w:val="00274500"/>
    <w:rsid w:val="002746A4"/>
    <w:rsid w:val="00274787"/>
    <w:rsid w:val="00274B2C"/>
    <w:rsid w:val="00274E5F"/>
    <w:rsid w:val="00275201"/>
    <w:rsid w:val="0027531C"/>
    <w:rsid w:val="00275D02"/>
    <w:rsid w:val="00275D19"/>
    <w:rsid w:val="002764A8"/>
    <w:rsid w:val="002765B4"/>
    <w:rsid w:val="00276C52"/>
    <w:rsid w:val="00276FA2"/>
    <w:rsid w:val="002770BA"/>
    <w:rsid w:val="00277507"/>
    <w:rsid w:val="002776A7"/>
    <w:rsid w:val="002776F1"/>
    <w:rsid w:val="00277764"/>
    <w:rsid w:val="00277AC3"/>
    <w:rsid w:val="00277B59"/>
    <w:rsid w:val="00277D42"/>
    <w:rsid w:val="00277FE2"/>
    <w:rsid w:val="0028000B"/>
    <w:rsid w:val="00280129"/>
    <w:rsid w:val="002801BE"/>
    <w:rsid w:val="002803D4"/>
    <w:rsid w:val="0028055C"/>
    <w:rsid w:val="00280EE2"/>
    <w:rsid w:val="002811FC"/>
    <w:rsid w:val="0028121E"/>
    <w:rsid w:val="002812DE"/>
    <w:rsid w:val="0028150E"/>
    <w:rsid w:val="00281636"/>
    <w:rsid w:val="0028181E"/>
    <w:rsid w:val="00281A9D"/>
    <w:rsid w:val="00281C3B"/>
    <w:rsid w:val="00281D7B"/>
    <w:rsid w:val="002822CF"/>
    <w:rsid w:val="002822F7"/>
    <w:rsid w:val="002829AF"/>
    <w:rsid w:val="00282A0E"/>
    <w:rsid w:val="00282B45"/>
    <w:rsid w:val="0028325B"/>
    <w:rsid w:val="00283527"/>
    <w:rsid w:val="00283599"/>
    <w:rsid w:val="002835EB"/>
    <w:rsid w:val="00283EC1"/>
    <w:rsid w:val="00284188"/>
    <w:rsid w:val="00284219"/>
    <w:rsid w:val="002842B4"/>
    <w:rsid w:val="00284495"/>
    <w:rsid w:val="002846D2"/>
    <w:rsid w:val="00284A44"/>
    <w:rsid w:val="002850E3"/>
    <w:rsid w:val="00285259"/>
    <w:rsid w:val="00285296"/>
    <w:rsid w:val="002854A2"/>
    <w:rsid w:val="002859E6"/>
    <w:rsid w:val="00286081"/>
    <w:rsid w:val="00286A48"/>
    <w:rsid w:val="00286FA6"/>
    <w:rsid w:val="00287165"/>
    <w:rsid w:val="00287236"/>
    <w:rsid w:val="00287749"/>
    <w:rsid w:val="00287F4C"/>
    <w:rsid w:val="00290547"/>
    <w:rsid w:val="00290623"/>
    <w:rsid w:val="002908C3"/>
    <w:rsid w:val="00290921"/>
    <w:rsid w:val="00290D74"/>
    <w:rsid w:val="002911A9"/>
    <w:rsid w:val="002913E1"/>
    <w:rsid w:val="002918E0"/>
    <w:rsid w:val="00291950"/>
    <w:rsid w:val="00291D28"/>
    <w:rsid w:val="00291FFE"/>
    <w:rsid w:val="00292187"/>
    <w:rsid w:val="0029230C"/>
    <w:rsid w:val="0029270C"/>
    <w:rsid w:val="00292763"/>
    <w:rsid w:val="00292BE7"/>
    <w:rsid w:val="00292C00"/>
    <w:rsid w:val="00293002"/>
    <w:rsid w:val="0029331F"/>
    <w:rsid w:val="00293377"/>
    <w:rsid w:val="002933D6"/>
    <w:rsid w:val="002933DF"/>
    <w:rsid w:val="002934DC"/>
    <w:rsid w:val="0029355C"/>
    <w:rsid w:val="002938B3"/>
    <w:rsid w:val="00293C73"/>
    <w:rsid w:val="00293E30"/>
    <w:rsid w:val="00294001"/>
    <w:rsid w:val="00294019"/>
    <w:rsid w:val="002946B9"/>
    <w:rsid w:val="00294888"/>
    <w:rsid w:val="00294B4F"/>
    <w:rsid w:val="00294B9E"/>
    <w:rsid w:val="00295095"/>
    <w:rsid w:val="002957E1"/>
    <w:rsid w:val="00295E02"/>
    <w:rsid w:val="00295F5D"/>
    <w:rsid w:val="0029601F"/>
    <w:rsid w:val="0029612F"/>
    <w:rsid w:val="00296320"/>
    <w:rsid w:val="00296476"/>
    <w:rsid w:val="00296579"/>
    <w:rsid w:val="00296907"/>
    <w:rsid w:val="00296BB7"/>
    <w:rsid w:val="0029743E"/>
    <w:rsid w:val="002974BF"/>
    <w:rsid w:val="002977F4"/>
    <w:rsid w:val="00297BE8"/>
    <w:rsid w:val="00297C51"/>
    <w:rsid w:val="00297D2B"/>
    <w:rsid w:val="002A0DBF"/>
    <w:rsid w:val="002A0E97"/>
    <w:rsid w:val="002A11CD"/>
    <w:rsid w:val="002A1607"/>
    <w:rsid w:val="002A1668"/>
    <w:rsid w:val="002A2116"/>
    <w:rsid w:val="002A2628"/>
    <w:rsid w:val="002A285F"/>
    <w:rsid w:val="002A2D70"/>
    <w:rsid w:val="002A343D"/>
    <w:rsid w:val="002A348C"/>
    <w:rsid w:val="002A3624"/>
    <w:rsid w:val="002A3678"/>
    <w:rsid w:val="002A381F"/>
    <w:rsid w:val="002A3DBC"/>
    <w:rsid w:val="002A3E00"/>
    <w:rsid w:val="002A4128"/>
    <w:rsid w:val="002A4297"/>
    <w:rsid w:val="002A462A"/>
    <w:rsid w:val="002A4D3D"/>
    <w:rsid w:val="002A4F06"/>
    <w:rsid w:val="002A577C"/>
    <w:rsid w:val="002A5CFF"/>
    <w:rsid w:val="002A5E7F"/>
    <w:rsid w:val="002A5F7A"/>
    <w:rsid w:val="002A66F5"/>
    <w:rsid w:val="002A6760"/>
    <w:rsid w:val="002A6E34"/>
    <w:rsid w:val="002A6E36"/>
    <w:rsid w:val="002A71A3"/>
    <w:rsid w:val="002A77DD"/>
    <w:rsid w:val="002A7DE8"/>
    <w:rsid w:val="002B02B6"/>
    <w:rsid w:val="002B02C9"/>
    <w:rsid w:val="002B0315"/>
    <w:rsid w:val="002B0473"/>
    <w:rsid w:val="002B0504"/>
    <w:rsid w:val="002B055D"/>
    <w:rsid w:val="002B05D4"/>
    <w:rsid w:val="002B0A1C"/>
    <w:rsid w:val="002B0D00"/>
    <w:rsid w:val="002B118B"/>
    <w:rsid w:val="002B122F"/>
    <w:rsid w:val="002B1646"/>
    <w:rsid w:val="002B1811"/>
    <w:rsid w:val="002B1A62"/>
    <w:rsid w:val="002B1E21"/>
    <w:rsid w:val="002B24E1"/>
    <w:rsid w:val="002B2CA1"/>
    <w:rsid w:val="002B2D5E"/>
    <w:rsid w:val="002B316D"/>
    <w:rsid w:val="002B3201"/>
    <w:rsid w:val="002B37DA"/>
    <w:rsid w:val="002B3B31"/>
    <w:rsid w:val="002B400C"/>
    <w:rsid w:val="002B40E3"/>
    <w:rsid w:val="002B422A"/>
    <w:rsid w:val="002B4431"/>
    <w:rsid w:val="002B48C2"/>
    <w:rsid w:val="002B5037"/>
    <w:rsid w:val="002B51F5"/>
    <w:rsid w:val="002B5504"/>
    <w:rsid w:val="002B5A80"/>
    <w:rsid w:val="002B6141"/>
    <w:rsid w:val="002B6253"/>
    <w:rsid w:val="002B6528"/>
    <w:rsid w:val="002B6B28"/>
    <w:rsid w:val="002C0591"/>
    <w:rsid w:val="002C0826"/>
    <w:rsid w:val="002C0985"/>
    <w:rsid w:val="002C098D"/>
    <w:rsid w:val="002C0BEF"/>
    <w:rsid w:val="002C0D29"/>
    <w:rsid w:val="002C109F"/>
    <w:rsid w:val="002C157F"/>
    <w:rsid w:val="002C1632"/>
    <w:rsid w:val="002C1817"/>
    <w:rsid w:val="002C18AD"/>
    <w:rsid w:val="002C1E64"/>
    <w:rsid w:val="002C201C"/>
    <w:rsid w:val="002C216E"/>
    <w:rsid w:val="002C21B6"/>
    <w:rsid w:val="002C23EF"/>
    <w:rsid w:val="002C27F3"/>
    <w:rsid w:val="002C2B8C"/>
    <w:rsid w:val="002C2C23"/>
    <w:rsid w:val="002C30D0"/>
    <w:rsid w:val="002C3122"/>
    <w:rsid w:val="002C31DD"/>
    <w:rsid w:val="002C340D"/>
    <w:rsid w:val="002C350A"/>
    <w:rsid w:val="002C3558"/>
    <w:rsid w:val="002C3A02"/>
    <w:rsid w:val="002C3F27"/>
    <w:rsid w:val="002C459B"/>
    <w:rsid w:val="002C4A86"/>
    <w:rsid w:val="002C4DA2"/>
    <w:rsid w:val="002C4DBB"/>
    <w:rsid w:val="002C4E4B"/>
    <w:rsid w:val="002C4E50"/>
    <w:rsid w:val="002C4FA3"/>
    <w:rsid w:val="002C50F7"/>
    <w:rsid w:val="002C5165"/>
    <w:rsid w:val="002C5187"/>
    <w:rsid w:val="002C598F"/>
    <w:rsid w:val="002C5996"/>
    <w:rsid w:val="002C653C"/>
    <w:rsid w:val="002C66A5"/>
    <w:rsid w:val="002C6A04"/>
    <w:rsid w:val="002C6B51"/>
    <w:rsid w:val="002C6DDC"/>
    <w:rsid w:val="002C6F4F"/>
    <w:rsid w:val="002C6F6E"/>
    <w:rsid w:val="002C7014"/>
    <w:rsid w:val="002C701C"/>
    <w:rsid w:val="002C7175"/>
    <w:rsid w:val="002C7621"/>
    <w:rsid w:val="002C7A6E"/>
    <w:rsid w:val="002C7CC1"/>
    <w:rsid w:val="002C7ED6"/>
    <w:rsid w:val="002C7EFD"/>
    <w:rsid w:val="002D029A"/>
    <w:rsid w:val="002D0407"/>
    <w:rsid w:val="002D0480"/>
    <w:rsid w:val="002D0606"/>
    <w:rsid w:val="002D07BD"/>
    <w:rsid w:val="002D0C6C"/>
    <w:rsid w:val="002D0CC9"/>
    <w:rsid w:val="002D0D9F"/>
    <w:rsid w:val="002D0E1C"/>
    <w:rsid w:val="002D10E8"/>
    <w:rsid w:val="002D17C2"/>
    <w:rsid w:val="002D1972"/>
    <w:rsid w:val="002D1B15"/>
    <w:rsid w:val="002D1BA4"/>
    <w:rsid w:val="002D1E69"/>
    <w:rsid w:val="002D211F"/>
    <w:rsid w:val="002D2222"/>
    <w:rsid w:val="002D22FB"/>
    <w:rsid w:val="002D23D5"/>
    <w:rsid w:val="002D2507"/>
    <w:rsid w:val="002D26E7"/>
    <w:rsid w:val="002D2918"/>
    <w:rsid w:val="002D2B2C"/>
    <w:rsid w:val="002D30B3"/>
    <w:rsid w:val="002D3B6C"/>
    <w:rsid w:val="002D3E79"/>
    <w:rsid w:val="002D4087"/>
    <w:rsid w:val="002D40C3"/>
    <w:rsid w:val="002D512D"/>
    <w:rsid w:val="002D550F"/>
    <w:rsid w:val="002D5666"/>
    <w:rsid w:val="002D5A48"/>
    <w:rsid w:val="002D5E76"/>
    <w:rsid w:val="002D5F18"/>
    <w:rsid w:val="002D6296"/>
    <w:rsid w:val="002D659B"/>
    <w:rsid w:val="002D666A"/>
    <w:rsid w:val="002D683A"/>
    <w:rsid w:val="002D69FC"/>
    <w:rsid w:val="002D6B72"/>
    <w:rsid w:val="002D6D39"/>
    <w:rsid w:val="002D72DF"/>
    <w:rsid w:val="002D7306"/>
    <w:rsid w:val="002D7D04"/>
    <w:rsid w:val="002E0082"/>
    <w:rsid w:val="002E02A0"/>
    <w:rsid w:val="002E058F"/>
    <w:rsid w:val="002E0925"/>
    <w:rsid w:val="002E09EC"/>
    <w:rsid w:val="002E0D51"/>
    <w:rsid w:val="002E16BA"/>
    <w:rsid w:val="002E1772"/>
    <w:rsid w:val="002E1808"/>
    <w:rsid w:val="002E1DF6"/>
    <w:rsid w:val="002E2818"/>
    <w:rsid w:val="002E2C8E"/>
    <w:rsid w:val="002E300F"/>
    <w:rsid w:val="002E3DAA"/>
    <w:rsid w:val="002E4237"/>
    <w:rsid w:val="002E495B"/>
    <w:rsid w:val="002E53E0"/>
    <w:rsid w:val="002E588B"/>
    <w:rsid w:val="002E5A13"/>
    <w:rsid w:val="002E5C94"/>
    <w:rsid w:val="002E5FED"/>
    <w:rsid w:val="002E615D"/>
    <w:rsid w:val="002E6851"/>
    <w:rsid w:val="002E6907"/>
    <w:rsid w:val="002E6B2D"/>
    <w:rsid w:val="002E6CC7"/>
    <w:rsid w:val="002E6ED8"/>
    <w:rsid w:val="002E7220"/>
    <w:rsid w:val="002E7BDC"/>
    <w:rsid w:val="002E7D35"/>
    <w:rsid w:val="002E7DD9"/>
    <w:rsid w:val="002E7E02"/>
    <w:rsid w:val="002F0805"/>
    <w:rsid w:val="002F08A7"/>
    <w:rsid w:val="002F0999"/>
    <w:rsid w:val="002F0B40"/>
    <w:rsid w:val="002F0BFE"/>
    <w:rsid w:val="002F1451"/>
    <w:rsid w:val="002F1AC3"/>
    <w:rsid w:val="002F1E10"/>
    <w:rsid w:val="002F1E9E"/>
    <w:rsid w:val="002F2221"/>
    <w:rsid w:val="002F23EF"/>
    <w:rsid w:val="002F2404"/>
    <w:rsid w:val="002F25E1"/>
    <w:rsid w:val="002F272E"/>
    <w:rsid w:val="002F278B"/>
    <w:rsid w:val="002F2A64"/>
    <w:rsid w:val="002F2B19"/>
    <w:rsid w:val="002F2B88"/>
    <w:rsid w:val="002F2F47"/>
    <w:rsid w:val="002F33C4"/>
    <w:rsid w:val="002F34A7"/>
    <w:rsid w:val="002F3C17"/>
    <w:rsid w:val="002F3EC7"/>
    <w:rsid w:val="002F4C2F"/>
    <w:rsid w:val="002F4DCA"/>
    <w:rsid w:val="002F4FA7"/>
    <w:rsid w:val="002F5538"/>
    <w:rsid w:val="002F5588"/>
    <w:rsid w:val="002F5772"/>
    <w:rsid w:val="002F5779"/>
    <w:rsid w:val="002F6032"/>
    <w:rsid w:val="002F60D8"/>
    <w:rsid w:val="002F613E"/>
    <w:rsid w:val="002F62F7"/>
    <w:rsid w:val="002F6378"/>
    <w:rsid w:val="002F667D"/>
    <w:rsid w:val="002F669D"/>
    <w:rsid w:val="002F66C8"/>
    <w:rsid w:val="002F6AEE"/>
    <w:rsid w:val="002F6C17"/>
    <w:rsid w:val="002F7366"/>
    <w:rsid w:val="002F7B12"/>
    <w:rsid w:val="003004AE"/>
    <w:rsid w:val="00300646"/>
    <w:rsid w:val="00300C12"/>
    <w:rsid w:val="00300C27"/>
    <w:rsid w:val="00300D96"/>
    <w:rsid w:val="00300E6A"/>
    <w:rsid w:val="003013FF"/>
    <w:rsid w:val="00301498"/>
    <w:rsid w:val="00301767"/>
    <w:rsid w:val="00302031"/>
    <w:rsid w:val="00302521"/>
    <w:rsid w:val="0030270D"/>
    <w:rsid w:val="0030285E"/>
    <w:rsid w:val="00302B9E"/>
    <w:rsid w:val="00302C30"/>
    <w:rsid w:val="00302DEA"/>
    <w:rsid w:val="0030303F"/>
    <w:rsid w:val="003031F3"/>
    <w:rsid w:val="00303333"/>
    <w:rsid w:val="00303513"/>
    <w:rsid w:val="00303A4F"/>
    <w:rsid w:val="00303BDC"/>
    <w:rsid w:val="00303DB8"/>
    <w:rsid w:val="0030405E"/>
    <w:rsid w:val="0030452B"/>
    <w:rsid w:val="0030455D"/>
    <w:rsid w:val="00304666"/>
    <w:rsid w:val="00304835"/>
    <w:rsid w:val="0030487D"/>
    <w:rsid w:val="00304B91"/>
    <w:rsid w:val="00304FB8"/>
    <w:rsid w:val="003051DB"/>
    <w:rsid w:val="00305892"/>
    <w:rsid w:val="00305957"/>
    <w:rsid w:val="00305E1F"/>
    <w:rsid w:val="003061CB"/>
    <w:rsid w:val="0030623C"/>
    <w:rsid w:val="00306842"/>
    <w:rsid w:val="00306958"/>
    <w:rsid w:val="00306A87"/>
    <w:rsid w:val="00306B2C"/>
    <w:rsid w:val="0030702F"/>
    <w:rsid w:val="003070F7"/>
    <w:rsid w:val="0030710C"/>
    <w:rsid w:val="00307153"/>
    <w:rsid w:val="0030796F"/>
    <w:rsid w:val="0030797A"/>
    <w:rsid w:val="00307D41"/>
    <w:rsid w:val="00307D93"/>
    <w:rsid w:val="00310063"/>
    <w:rsid w:val="003100FD"/>
    <w:rsid w:val="0031067F"/>
    <w:rsid w:val="00310851"/>
    <w:rsid w:val="00310CAB"/>
    <w:rsid w:val="00311013"/>
    <w:rsid w:val="00311152"/>
    <w:rsid w:val="00311186"/>
    <w:rsid w:val="003113C0"/>
    <w:rsid w:val="0031141F"/>
    <w:rsid w:val="003116E8"/>
    <w:rsid w:val="003116E9"/>
    <w:rsid w:val="003117B1"/>
    <w:rsid w:val="00311851"/>
    <w:rsid w:val="00311AAA"/>
    <w:rsid w:val="00311E0B"/>
    <w:rsid w:val="003121B8"/>
    <w:rsid w:val="003122E3"/>
    <w:rsid w:val="003125B7"/>
    <w:rsid w:val="003126D8"/>
    <w:rsid w:val="003129FE"/>
    <w:rsid w:val="00312BE0"/>
    <w:rsid w:val="00312EC5"/>
    <w:rsid w:val="00312F98"/>
    <w:rsid w:val="00313119"/>
    <w:rsid w:val="003131B9"/>
    <w:rsid w:val="00313341"/>
    <w:rsid w:val="0031341A"/>
    <w:rsid w:val="00313A5F"/>
    <w:rsid w:val="00313C49"/>
    <w:rsid w:val="00313E25"/>
    <w:rsid w:val="0031426C"/>
    <w:rsid w:val="0031454E"/>
    <w:rsid w:val="003145E4"/>
    <w:rsid w:val="003149E2"/>
    <w:rsid w:val="00314EBA"/>
    <w:rsid w:val="00314F8B"/>
    <w:rsid w:val="00315639"/>
    <w:rsid w:val="00315781"/>
    <w:rsid w:val="00315A8A"/>
    <w:rsid w:val="00315B33"/>
    <w:rsid w:val="00315E92"/>
    <w:rsid w:val="003160C8"/>
    <w:rsid w:val="003160D7"/>
    <w:rsid w:val="00316147"/>
    <w:rsid w:val="003166A8"/>
    <w:rsid w:val="00316759"/>
    <w:rsid w:val="003169A3"/>
    <w:rsid w:val="003169E0"/>
    <w:rsid w:val="00316D5C"/>
    <w:rsid w:val="00316DDA"/>
    <w:rsid w:val="00316EBC"/>
    <w:rsid w:val="00316F22"/>
    <w:rsid w:val="00317298"/>
    <w:rsid w:val="00317430"/>
    <w:rsid w:val="00317B62"/>
    <w:rsid w:val="00317BA8"/>
    <w:rsid w:val="00317C71"/>
    <w:rsid w:val="00317C77"/>
    <w:rsid w:val="00317DC6"/>
    <w:rsid w:val="00317F0D"/>
    <w:rsid w:val="00317F2F"/>
    <w:rsid w:val="00317F7C"/>
    <w:rsid w:val="00320651"/>
    <w:rsid w:val="00320744"/>
    <w:rsid w:val="00320923"/>
    <w:rsid w:val="00320C22"/>
    <w:rsid w:val="00320C3A"/>
    <w:rsid w:val="003210FA"/>
    <w:rsid w:val="0032142C"/>
    <w:rsid w:val="003214FC"/>
    <w:rsid w:val="00321527"/>
    <w:rsid w:val="003219FA"/>
    <w:rsid w:val="00321A47"/>
    <w:rsid w:val="0032203A"/>
    <w:rsid w:val="00322103"/>
    <w:rsid w:val="00322382"/>
    <w:rsid w:val="003223DA"/>
    <w:rsid w:val="00322433"/>
    <w:rsid w:val="00322462"/>
    <w:rsid w:val="0032263A"/>
    <w:rsid w:val="0032276E"/>
    <w:rsid w:val="003228CB"/>
    <w:rsid w:val="00322CF5"/>
    <w:rsid w:val="003232D1"/>
    <w:rsid w:val="0032342F"/>
    <w:rsid w:val="00323533"/>
    <w:rsid w:val="003237B2"/>
    <w:rsid w:val="00323D6D"/>
    <w:rsid w:val="00324111"/>
    <w:rsid w:val="00324162"/>
    <w:rsid w:val="003243CE"/>
    <w:rsid w:val="0032444A"/>
    <w:rsid w:val="003245D7"/>
    <w:rsid w:val="0032466A"/>
    <w:rsid w:val="003248AA"/>
    <w:rsid w:val="00324A87"/>
    <w:rsid w:val="00324C63"/>
    <w:rsid w:val="00324D7D"/>
    <w:rsid w:val="00325292"/>
    <w:rsid w:val="00325395"/>
    <w:rsid w:val="00325576"/>
    <w:rsid w:val="00325B64"/>
    <w:rsid w:val="00325B6B"/>
    <w:rsid w:val="00325D3E"/>
    <w:rsid w:val="00325E85"/>
    <w:rsid w:val="00325F83"/>
    <w:rsid w:val="003264F4"/>
    <w:rsid w:val="003265CE"/>
    <w:rsid w:val="003265F4"/>
    <w:rsid w:val="003267C4"/>
    <w:rsid w:val="00327069"/>
    <w:rsid w:val="003272D6"/>
    <w:rsid w:val="00327325"/>
    <w:rsid w:val="00327457"/>
    <w:rsid w:val="00327476"/>
    <w:rsid w:val="00327566"/>
    <w:rsid w:val="003275F1"/>
    <w:rsid w:val="0032774E"/>
    <w:rsid w:val="00327F83"/>
    <w:rsid w:val="0033013D"/>
    <w:rsid w:val="00330640"/>
    <w:rsid w:val="0033064D"/>
    <w:rsid w:val="003313F2"/>
    <w:rsid w:val="003315A9"/>
    <w:rsid w:val="003315AE"/>
    <w:rsid w:val="003316FA"/>
    <w:rsid w:val="00332462"/>
    <w:rsid w:val="00332704"/>
    <w:rsid w:val="00332ADB"/>
    <w:rsid w:val="00332B8F"/>
    <w:rsid w:val="00333841"/>
    <w:rsid w:val="00334AD7"/>
    <w:rsid w:val="00335205"/>
    <w:rsid w:val="0033560D"/>
    <w:rsid w:val="00335A5F"/>
    <w:rsid w:val="00335A94"/>
    <w:rsid w:val="00335D7A"/>
    <w:rsid w:val="00335F09"/>
    <w:rsid w:val="00336169"/>
    <w:rsid w:val="00336247"/>
    <w:rsid w:val="0033647B"/>
    <w:rsid w:val="003365D7"/>
    <w:rsid w:val="00336992"/>
    <w:rsid w:val="00336A4C"/>
    <w:rsid w:val="00336EE1"/>
    <w:rsid w:val="003373FA"/>
    <w:rsid w:val="003374A5"/>
    <w:rsid w:val="00337529"/>
    <w:rsid w:val="003377B5"/>
    <w:rsid w:val="003378F7"/>
    <w:rsid w:val="003379EB"/>
    <w:rsid w:val="00337D38"/>
    <w:rsid w:val="00337F6F"/>
    <w:rsid w:val="00337FB8"/>
    <w:rsid w:val="003401B6"/>
    <w:rsid w:val="0034035F"/>
    <w:rsid w:val="0034045D"/>
    <w:rsid w:val="003405DF"/>
    <w:rsid w:val="00340733"/>
    <w:rsid w:val="00340911"/>
    <w:rsid w:val="00340C59"/>
    <w:rsid w:val="00340F30"/>
    <w:rsid w:val="00342044"/>
    <w:rsid w:val="003420F2"/>
    <w:rsid w:val="00342590"/>
    <w:rsid w:val="00342663"/>
    <w:rsid w:val="00342A8D"/>
    <w:rsid w:val="00342DCF"/>
    <w:rsid w:val="003431C3"/>
    <w:rsid w:val="00344565"/>
    <w:rsid w:val="0034467A"/>
    <w:rsid w:val="0034474A"/>
    <w:rsid w:val="00344BD2"/>
    <w:rsid w:val="00344E92"/>
    <w:rsid w:val="00344EEA"/>
    <w:rsid w:val="00345043"/>
    <w:rsid w:val="003454DD"/>
    <w:rsid w:val="00345B3F"/>
    <w:rsid w:val="00345BC6"/>
    <w:rsid w:val="0034663B"/>
    <w:rsid w:val="00346D8F"/>
    <w:rsid w:val="00346F5A"/>
    <w:rsid w:val="00347012"/>
    <w:rsid w:val="003470B4"/>
    <w:rsid w:val="00347BA9"/>
    <w:rsid w:val="00350451"/>
    <w:rsid w:val="00350570"/>
    <w:rsid w:val="00350A71"/>
    <w:rsid w:val="00350D4C"/>
    <w:rsid w:val="00350E6B"/>
    <w:rsid w:val="00351170"/>
    <w:rsid w:val="0035166B"/>
    <w:rsid w:val="00351C81"/>
    <w:rsid w:val="00352499"/>
    <w:rsid w:val="00352863"/>
    <w:rsid w:val="00352AD3"/>
    <w:rsid w:val="00352FCF"/>
    <w:rsid w:val="003532A6"/>
    <w:rsid w:val="00353318"/>
    <w:rsid w:val="00353909"/>
    <w:rsid w:val="00353ACA"/>
    <w:rsid w:val="00353B7E"/>
    <w:rsid w:val="0035402B"/>
    <w:rsid w:val="00354443"/>
    <w:rsid w:val="00354CD5"/>
    <w:rsid w:val="00354E31"/>
    <w:rsid w:val="00354F11"/>
    <w:rsid w:val="0035500F"/>
    <w:rsid w:val="00355093"/>
    <w:rsid w:val="00355772"/>
    <w:rsid w:val="003559EA"/>
    <w:rsid w:val="00355DB0"/>
    <w:rsid w:val="00355DBF"/>
    <w:rsid w:val="00355F23"/>
    <w:rsid w:val="003561B8"/>
    <w:rsid w:val="00356260"/>
    <w:rsid w:val="0035628B"/>
    <w:rsid w:val="0035666F"/>
    <w:rsid w:val="0035679D"/>
    <w:rsid w:val="00356841"/>
    <w:rsid w:val="00356CE1"/>
    <w:rsid w:val="00356D8E"/>
    <w:rsid w:val="00356ED7"/>
    <w:rsid w:val="00357588"/>
    <w:rsid w:val="003577A5"/>
    <w:rsid w:val="0036011E"/>
    <w:rsid w:val="00360714"/>
    <w:rsid w:val="00360928"/>
    <w:rsid w:val="00360C33"/>
    <w:rsid w:val="00360DE2"/>
    <w:rsid w:val="00361272"/>
    <w:rsid w:val="00361522"/>
    <w:rsid w:val="003617E9"/>
    <w:rsid w:val="00361AAA"/>
    <w:rsid w:val="00361AFB"/>
    <w:rsid w:val="00362333"/>
    <w:rsid w:val="0036233D"/>
    <w:rsid w:val="00362373"/>
    <w:rsid w:val="003626EA"/>
    <w:rsid w:val="00362BA1"/>
    <w:rsid w:val="00362F33"/>
    <w:rsid w:val="00363A81"/>
    <w:rsid w:val="00363B34"/>
    <w:rsid w:val="00363B51"/>
    <w:rsid w:val="00363DEE"/>
    <w:rsid w:val="00363EEE"/>
    <w:rsid w:val="00364670"/>
    <w:rsid w:val="00364E9E"/>
    <w:rsid w:val="00365118"/>
    <w:rsid w:val="0036524A"/>
    <w:rsid w:val="00365F9C"/>
    <w:rsid w:val="00366186"/>
    <w:rsid w:val="00366543"/>
    <w:rsid w:val="0036677B"/>
    <w:rsid w:val="0036688C"/>
    <w:rsid w:val="00366F22"/>
    <w:rsid w:val="00367395"/>
    <w:rsid w:val="0036777E"/>
    <w:rsid w:val="00367990"/>
    <w:rsid w:val="00367D92"/>
    <w:rsid w:val="00367DF1"/>
    <w:rsid w:val="00367E4C"/>
    <w:rsid w:val="003703D6"/>
    <w:rsid w:val="0037040D"/>
    <w:rsid w:val="003706EE"/>
    <w:rsid w:val="003708A7"/>
    <w:rsid w:val="0037140F"/>
    <w:rsid w:val="00371D5F"/>
    <w:rsid w:val="00372100"/>
    <w:rsid w:val="0037223B"/>
    <w:rsid w:val="00372475"/>
    <w:rsid w:val="0037248B"/>
    <w:rsid w:val="00372605"/>
    <w:rsid w:val="003726C1"/>
    <w:rsid w:val="003727F6"/>
    <w:rsid w:val="00372ACF"/>
    <w:rsid w:val="00372DCB"/>
    <w:rsid w:val="00372FC0"/>
    <w:rsid w:val="00373151"/>
    <w:rsid w:val="00373294"/>
    <w:rsid w:val="003734EE"/>
    <w:rsid w:val="003737C0"/>
    <w:rsid w:val="00373AFA"/>
    <w:rsid w:val="00373B0D"/>
    <w:rsid w:val="00373CFB"/>
    <w:rsid w:val="00373DC3"/>
    <w:rsid w:val="00373E66"/>
    <w:rsid w:val="00373F12"/>
    <w:rsid w:val="00374107"/>
    <w:rsid w:val="00374317"/>
    <w:rsid w:val="003744C9"/>
    <w:rsid w:val="00374655"/>
    <w:rsid w:val="003746B5"/>
    <w:rsid w:val="0037535E"/>
    <w:rsid w:val="00375454"/>
    <w:rsid w:val="003759CE"/>
    <w:rsid w:val="00375AE9"/>
    <w:rsid w:val="00375BB0"/>
    <w:rsid w:val="00376ED3"/>
    <w:rsid w:val="00377379"/>
    <w:rsid w:val="00377460"/>
    <w:rsid w:val="003776B8"/>
    <w:rsid w:val="003778D9"/>
    <w:rsid w:val="0037792D"/>
    <w:rsid w:val="003779C3"/>
    <w:rsid w:val="00377AA0"/>
    <w:rsid w:val="0038031E"/>
    <w:rsid w:val="003805D1"/>
    <w:rsid w:val="00380BC8"/>
    <w:rsid w:val="0038103B"/>
    <w:rsid w:val="0038113C"/>
    <w:rsid w:val="0038139F"/>
    <w:rsid w:val="0038160C"/>
    <w:rsid w:val="00381C53"/>
    <w:rsid w:val="00381E75"/>
    <w:rsid w:val="003820D6"/>
    <w:rsid w:val="0038217C"/>
    <w:rsid w:val="0038229E"/>
    <w:rsid w:val="00382311"/>
    <w:rsid w:val="00382729"/>
    <w:rsid w:val="00382BAC"/>
    <w:rsid w:val="00382CE0"/>
    <w:rsid w:val="003832DB"/>
    <w:rsid w:val="0038333B"/>
    <w:rsid w:val="00383999"/>
    <w:rsid w:val="00383AEB"/>
    <w:rsid w:val="00383AF2"/>
    <w:rsid w:val="00383DB0"/>
    <w:rsid w:val="00383FC4"/>
    <w:rsid w:val="00384101"/>
    <w:rsid w:val="003842E0"/>
    <w:rsid w:val="0038464F"/>
    <w:rsid w:val="003846CD"/>
    <w:rsid w:val="00384807"/>
    <w:rsid w:val="003848E8"/>
    <w:rsid w:val="00384A2B"/>
    <w:rsid w:val="00384EA2"/>
    <w:rsid w:val="0038586B"/>
    <w:rsid w:val="00385BED"/>
    <w:rsid w:val="00385C0A"/>
    <w:rsid w:val="00385CF6"/>
    <w:rsid w:val="00385D82"/>
    <w:rsid w:val="00385E6F"/>
    <w:rsid w:val="00385FD8"/>
    <w:rsid w:val="00385FFB"/>
    <w:rsid w:val="0038600B"/>
    <w:rsid w:val="003862A8"/>
    <w:rsid w:val="003869C6"/>
    <w:rsid w:val="00386A1A"/>
    <w:rsid w:val="00386BC5"/>
    <w:rsid w:val="00386FC9"/>
    <w:rsid w:val="00387B10"/>
    <w:rsid w:val="0039030A"/>
    <w:rsid w:val="00390493"/>
    <w:rsid w:val="00390575"/>
    <w:rsid w:val="003908B8"/>
    <w:rsid w:val="00390984"/>
    <w:rsid w:val="00390FEA"/>
    <w:rsid w:val="00391232"/>
    <w:rsid w:val="003919E7"/>
    <w:rsid w:val="00391ABA"/>
    <w:rsid w:val="00391B3B"/>
    <w:rsid w:val="00391D38"/>
    <w:rsid w:val="0039211A"/>
    <w:rsid w:val="0039241B"/>
    <w:rsid w:val="00392B55"/>
    <w:rsid w:val="00392B5A"/>
    <w:rsid w:val="00392C84"/>
    <w:rsid w:val="00392CDD"/>
    <w:rsid w:val="00393216"/>
    <w:rsid w:val="003933A8"/>
    <w:rsid w:val="00393567"/>
    <w:rsid w:val="0039356D"/>
    <w:rsid w:val="003937A8"/>
    <w:rsid w:val="00393B66"/>
    <w:rsid w:val="00394D69"/>
    <w:rsid w:val="00394E50"/>
    <w:rsid w:val="0039503A"/>
    <w:rsid w:val="00395135"/>
    <w:rsid w:val="003958D7"/>
    <w:rsid w:val="00395CE9"/>
    <w:rsid w:val="00395D64"/>
    <w:rsid w:val="00395EBD"/>
    <w:rsid w:val="003960D4"/>
    <w:rsid w:val="003963F2"/>
    <w:rsid w:val="0039680F"/>
    <w:rsid w:val="00396AC0"/>
    <w:rsid w:val="00396AEA"/>
    <w:rsid w:val="00396C09"/>
    <w:rsid w:val="00396C54"/>
    <w:rsid w:val="00396D31"/>
    <w:rsid w:val="00396FB0"/>
    <w:rsid w:val="00397379"/>
    <w:rsid w:val="0039753B"/>
    <w:rsid w:val="00397ADC"/>
    <w:rsid w:val="00397B76"/>
    <w:rsid w:val="00397CD7"/>
    <w:rsid w:val="00397CF1"/>
    <w:rsid w:val="003A027F"/>
    <w:rsid w:val="003A03D9"/>
    <w:rsid w:val="003A0415"/>
    <w:rsid w:val="003A0438"/>
    <w:rsid w:val="003A0471"/>
    <w:rsid w:val="003A0533"/>
    <w:rsid w:val="003A07D0"/>
    <w:rsid w:val="003A0B63"/>
    <w:rsid w:val="003A0E17"/>
    <w:rsid w:val="003A14FC"/>
    <w:rsid w:val="003A17E5"/>
    <w:rsid w:val="003A1D91"/>
    <w:rsid w:val="003A1FA6"/>
    <w:rsid w:val="003A2331"/>
    <w:rsid w:val="003A23EF"/>
    <w:rsid w:val="003A26C3"/>
    <w:rsid w:val="003A2A86"/>
    <w:rsid w:val="003A2B97"/>
    <w:rsid w:val="003A2CBC"/>
    <w:rsid w:val="003A3B71"/>
    <w:rsid w:val="003A4581"/>
    <w:rsid w:val="003A4A96"/>
    <w:rsid w:val="003A4AF3"/>
    <w:rsid w:val="003A4C92"/>
    <w:rsid w:val="003A4EF6"/>
    <w:rsid w:val="003A511F"/>
    <w:rsid w:val="003A52D9"/>
    <w:rsid w:val="003A53FE"/>
    <w:rsid w:val="003A5522"/>
    <w:rsid w:val="003A5902"/>
    <w:rsid w:val="003A5ACB"/>
    <w:rsid w:val="003A5B1C"/>
    <w:rsid w:val="003A5B9E"/>
    <w:rsid w:val="003A5F5A"/>
    <w:rsid w:val="003A5FBA"/>
    <w:rsid w:val="003A5FF4"/>
    <w:rsid w:val="003A600C"/>
    <w:rsid w:val="003A61C2"/>
    <w:rsid w:val="003A61C5"/>
    <w:rsid w:val="003A652C"/>
    <w:rsid w:val="003A66C1"/>
    <w:rsid w:val="003A6860"/>
    <w:rsid w:val="003A6A40"/>
    <w:rsid w:val="003A6BAB"/>
    <w:rsid w:val="003A71E6"/>
    <w:rsid w:val="003A746E"/>
    <w:rsid w:val="003A74A3"/>
    <w:rsid w:val="003A7CCC"/>
    <w:rsid w:val="003A7CF9"/>
    <w:rsid w:val="003B00C2"/>
    <w:rsid w:val="003B0174"/>
    <w:rsid w:val="003B03E1"/>
    <w:rsid w:val="003B07B3"/>
    <w:rsid w:val="003B0918"/>
    <w:rsid w:val="003B0AEC"/>
    <w:rsid w:val="003B0DD1"/>
    <w:rsid w:val="003B0ED6"/>
    <w:rsid w:val="003B12EF"/>
    <w:rsid w:val="003B14E3"/>
    <w:rsid w:val="003B1698"/>
    <w:rsid w:val="003B1861"/>
    <w:rsid w:val="003B1BBD"/>
    <w:rsid w:val="003B1C2D"/>
    <w:rsid w:val="003B1C34"/>
    <w:rsid w:val="003B2164"/>
    <w:rsid w:val="003B2274"/>
    <w:rsid w:val="003B25E5"/>
    <w:rsid w:val="003B2816"/>
    <w:rsid w:val="003B2901"/>
    <w:rsid w:val="003B2B28"/>
    <w:rsid w:val="003B3220"/>
    <w:rsid w:val="003B328D"/>
    <w:rsid w:val="003B39BE"/>
    <w:rsid w:val="003B3A8D"/>
    <w:rsid w:val="003B3E95"/>
    <w:rsid w:val="003B4422"/>
    <w:rsid w:val="003B45AE"/>
    <w:rsid w:val="003B47B1"/>
    <w:rsid w:val="003B48D5"/>
    <w:rsid w:val="003B4A5D"/>
    <w:rsid w:val="003B4A7A"/>
    <w:rsid w:val="003B4B20"/>
    <w:rsid w:val="003B4CDD"/>
    <w:rsid w:val="003B5133"/>
    <w:rsid w:val="003B515D"/>
    <w:rsid w:val="003B59BE"/>
    <w:rsid w:val="003B5B99"/>
    <w:rsid w:val="003B5DC3"/>
    <w:rsid w:val="003B646E"/>
    <w:rsid w:val="003B6589"/>
    <w:rsid w:val="003B674C"/>
    <w:rsid w:val="003B67F3"/>
    <w:rsid w:val="003B680A"/>
    <w:rsid w:val="003B6A06"/>
    <w:rsid w:val="003B6A60"/>
    <w:rsid w:val="003B6DC7"/>
    <w:rsid w:val="003B6E7F"/>
    <w:rsid w:val="003B6E95"/>
    <w:rsid w:val="003B7723"/>
    <w:rsid w:val="003B7847"/>
    <w:rsid w:val="003B7D72"/>
    <w:rsid w:val="003B7DC4"/>
    <w:rsid w:val="003B7E2D"/>
    <w:rsid w:val="003C0658"/>
    <w:rsid w:val="003C0EAD"/>
    <w:rsid w:val="003C0F27"/>
    <w:rsid w:val="003C135C"/>
    <w:rsid w:val="003C1375"/>
    <w:rsid w:val="003C14BD"/>
    <w:rsid w:val="003C14FD"/>
    <w:rsid w:val="003C16A6"/>
    <w:rsid w:val="003C1A48"/>
    <w:rsid w:val="003C1DBA"/>
    <w:rsid w:val="003C20E3"/>
    <w:rsid w:val="003C2147"/>
    <w:rsid w:val="003C23C0"/>
    <w:rsid w:val="003C2520"/>
    <w:rsid w:val="003C254C"/>
    <w:rsid w:val="003C28F8"/>
    <w:rsid w:val="003C294E"/>
    <w:rsid w:val="003C2ED4"/>
    <w:rsid w:val="003C2FAE"/>
    <w:rsid w:val="003C30C4"/>
    <w:rsid w:val="003C3333"/>
    <w:rsid w:val="003C353F"/>
    <w:rsid w:val="003C3D19"/>
    <w:rsid w:val="003C3E6F"/>
    <w:rsid w:val="003C3F4D"/>
    <w:rsid w:val="003C416A"/>
    <w:rsid w:val="003C4E3A"/>
    <w:rsid w:val="003C50E3"/>
    <w:rsid w:val="003C5135"/>
    <w:rsid w:val="003C5DA5"/>
    <w:rsid w:val="003C5ED6"/>
    <w:rsid w:val="003C638B"/>
    <w:rsid w:val="003C6549"/>
    <w:rsid w:val="003C665F"/>
    <w:rsid w:val="003C676E"/>
    <w:rsid w:val="003C6DB8"/>
    <w:rsid w:val="003C6F30"/>
    <w:rsid w:val="003C73A6"/>
    <w:rsid w:val="003C75F7"/>
    <w:rsid w:val="003C7779"/>
    <w:rsid w:val="003C7785"/>
    <w:rsid w:val="003C77B4"/>
    <w:rsid w:val="003C790E"/>
    <w:rsid w:val="003C7A26"/>
    <w:rsid w:val="003C7BA2"/>
    <w:rsid w:val="003C7C11"/>
    <w:rsid w:val="003D037A"/>
    <w:rsid w:val="003D03E0"/>
    <w:rsid w:val="003D04E8"/>
    <w:rsid w:val="003D0699"/>
    <w:rsid w:val="003D08B0"/>
    <w:rsid w:val="003D09E1"/>
    <w:rsid w:val="003D0B03"/>
    <w:rsid w:val="003D0BEC"/>
    <w:rsid w:val="003D0F0B"/>
    <w:rsid w:val="003D11A9"/>
    <w:rsid w:val="003D12E0"/>
    <w:rsid w:val="003D12ED"/>
    <w:rsid w:val="003D1F22"/>
    <w:rsid w:val="003D2835"/>
    <w:rsid w:val="003D28F1"/>
    <w:rsid w:val="003D2DA7"/>
    <w:rsid w:val="003D2F5C"/>
    <w:rsid w:val="003D344E"/>
    <w:rsid w:val="003D386B"/>
    <w:rsid w:val="003D3A51"/>
    <w:rsid w:val="003D3DCF"/>
    <w:rsid w:val="003D4411"/>
    <w:rsid w:val="003D4548"/>
    <w:rsid w:val="003D4B83"/>
    <w:rsid w:val="003D4F51"/>
    <w:rsid w:val="003D5238"/>
    <w:rsid w:val="003D52F8"/>
    <w:rsid w:val="003D5782"/>
    <w:rsid w:val="003D59F4"/>
    <w:rsid w:val="003D5D7C"/>
    <w:rsid w:val="003D5E7B"/>
    <w:rsid w:val="003D5F4B"/>
    <w:rsid w:val="003D6246"/>
    <w:rsid w:val="003D686F"/>
    <w:rsid w:val="003D697B"/>
    <w:rsid w:val="003D698F"/>
    <w:rsid w:val="003D6A64"/>
    <w:rsid w:val="003D759B"/>
    <w:rsid w:val="003D78A5"/>
    <w:rsid w:val="003D7F6E"/>
    <w:rsid w:val="003E0025"/>
    <w:rsid w:val="003E0337"/>
    <w:rsid w:val="003E033D"/>
    <w:rsid w:val="003E03BB"/>
    <w:rsid w:val="003E068B"/>
    <w:rsid w:val="003E07DF"/>
    <w:rsid w:val="003E0A52"/>
    <w:rsid w:val="003E0BCE"/>
    <w:rsid w:val="003E0D11"/>
    <w:rsid w:val="003E0F89"/>
    <w:rsid w:val="003E105C"/>
    <w:rsid w:val="003E11E0"/>
    <w:rsid w:val="003E16C4"/>
    <w:rsid w:val="003E16FC"/>
    <w:rsid w:val="003E1EBB"/>
    <w:rsid w:val="003E205A"/>
    <w:rsid w:val="003E2CB5"/>
    <w:rsid w:val="003E341E"/>
    <w:rsid w:val="003E3AEB"/>
    <w:rsid w:val="003E3D6A"/>
    <w:rsid w:val="003E3E72"/>
    <w:rsid w:val="003E416F"/>
    <w:rsid w:val="003E4220"/>
    <w:rsid w:val="003E42C4"/>
    <w:rsid w:val="003E42E8"/>
    <w:rsid w:val="003E44D4"/>
    <w:rsid w:val="003E4AAF"/>
    <w:rsid w:val="003E4D6D"/>
    <w:rsid w:val="003E4F7E"/>
    <w:rsid w:val="003E51C3"/>
    <w:rsid w:val="003E5739"/>
    <w:rsid w:val="003E5985"/>
    <w:rsid w:val="003E5CD0"/>
    <w:rsid w:val="003E5E84"/>
    <w:rsid w:val="003E5ED6"/>
    <w:rsid w:val="003E6044"/>
    <w:rsid w:val="003E6120"/>
    <w:rsid w:val="003E66BC"/>
    <w:rsid w:val="003E6FCE"/>
    <w:rsid w:val="003E7143"/>
    <w:rsid w:val="003E7500"/>
    <w:rsid w:val="003E7569"/>
    <w:rsid w:val="003E7693"/>
    <w:rsid w:val="003E771A"/>
    <w:rsid w:val="003E77BC"/>
    <w:rsid w:val="003E7819"/>
    <w:rsid w:val="003E7A02"/>
    <w:rsid w:val="003E7C51"/>
    <w:rsid w:val="003E7DC1"/>
    <w:rsid w:val="003E7E1D"/>
    <w:rsid w:val="003E7FDA"/>
    <w:rsid w:val="003F06E0"/>
    <w:rsid w:val="003F0722"/>
    <w:rsid w:val="003F078D"/>
    <w:rsid w:val="003F0957"/>
    <w:rsid w:val="003F0B64"/>
    <w:rsid w:val="003F0B80"/>
    <w:rsid w:val="003F111D"/>
    <w:rsid w:val="003F12BD"/>
    <w:rsid w:val="003F1341"/>
    <w:rsid w:val="003F1352"/>
    <w:rsid w:val="003F1CB2"/>
    <w:rsid w:val="003F1F70"/>
    <w:rsid w:val="003F20FD"/>
    <w:rsid w:val="003F2787"/>
    <w:rsid w:val="003F2FB9"/>
    <w:rsid w:val="003F3257"/>
    <w:rsid w:val="003F32F0"/>
    <w:rsid w:val="003F34B5"/>
    <w:rsid w:val="003F34B7"/>
    <w:rsid w:val="003F365C"/>
    <w:rsid w:val="003F36DA"/>
    <w:rsid w:val="003F38DE"/>
    <w:rsid w:val="003F4ABF"/>
    <w:rsid w:val="003F4C32"/>
    <w:rsid w:val="003F4C65"/>
    <w:rsid w:val="003F4FD5"/>
    <w:rsid w:val="003F514D"/>
    <w:rsid w:val="003F5839"/>
    <w:rsid w:val="003F6175"/>
    <w:rsid w:val="003F66E5"/>
    <w:rsid w:val="003F66EB"/>
    <w:rsid w:val="003F6B2B"/>
    <w:rsid w:val="003F6CAC"/>
    <w:rsid w:val="003F702F"/>
    <w:rsid w:val="003F7347"/>
    <w:rsid w:val="003F7417"/>
    <w:rsid w:val="003F76B8"/>
    <w:rsid w:val="003F7F61"/>
    <w:rsid w:val="0040000D"/>
    <w:rsid w:val="004000A1"/>
    <w:rsid w:val="004001FF"/>
    <w:rsid w:val="004002D0"/>
    <w:rsid w:val="00400482"/>
    <w:rsid w:val="0040066B"/>
    <w:rsid w:val="004007A7"/>
    <w:rsid w:val="0040097D"/>
    <w:rsid w:val="00400A7F"/>
    <w:rsid w:val="00400DA4"/>
    <w:rsid w:val="00400EF8"/>
    <w:rsid w:val="0040107A"/>
    <w:rsid w:val="004012B4"/>
    <w:rsid w:val="004014FF"/>
    <w:rsid w:val="00401798"/>
    <w:rsid w:val="004017C0"/>
    <w:rsid w:val="00401E2D"/>
    <w:rsid w:val="00401EA7"/>
    <w:rsid w:val="00402139"/>
    <w:rsid w:val="00402601"/>
    <w:rsid w:val="004026C5"/>
    <w:rsid w:val="004026D3"/>
    <w:rsid w:val="00402AC5"/>
    <w:rsid w:val="00402F9C"/>
    <w:rsid w:val="00403014"/>
    <w:rsid w:val="004036D0"/>
    <w:rsid w:val="00403D99"/>
    <w:rsid w:val="00404061"/>
    <w:rsid w:val="00404518"/>
    <w:rsid w:val="00404845"/>
    <w:rsid w:val="00404DFC"/>
    <w:rsid w:val="0040524C"/>
    <w:rsid w:val="00405258"/>
    <w:rsid w:val="0040563A"/>
    <w:rsid w:val="00405B50"/>
    <w:rsid w:val="00406144"/>
    <w:rsid w:val="004064FF"/>
    <w:rsid w:val="0040666D"/>
    <w:rsid w:val="00406786"/>
    <w:rsid w:val="004069E6"/>
    <w:rsid w:val="00406A98"/>
    <w:rsid w:val="00406B87"/>
    <w:rsid w:val="00406D3F"/>
    <w:rsid w:val="00407241"/>
    <w:rsid w:val="004078AB"/>
    <w:rsid w:val="00410263"/>
    <w:rsid w:val="0041038D"/>
    <w:rsid w:val="004103CB"/>
    <w:rsid w:val="004104FC"/>
    <w:rsid w:val="0041050B"/>
    <w:rsid w:val="00410B6B"/>
    <w:rsid w:val="00410FAC"/>
    <w:rsid w:val="0041107F"/>
    <w:rsid w:val="004111D3"/>
    <w:rsid w:val="004111F9"/>
    <w:rsid w:val="00411B3B"/>
    <w:rsid w:val="00411D7C"/>
    <w:rsid w:val="004122A9"/>
    <w:rsid w:val="00412476"/>
    <w:rsid w:val="00412B19"/>
    <w:rsid w:val="00413183"/>
    <w:rsid w:val="00413712"/>
    <w:rsid w:val="004137CB"/>
    <w:rsid w:val="004138D7"/>
    <w:rsid w:val="00413FEB"/>
    <w:rsid w:val="00414162"/>
    <w:rsid w:val="00414762"/>
    <w:rsid w:val="00414E7B"/>
    <w:rsid w:val="00414EF6"/>
    <w:rsid w:val="00414F4F"/>
    <w:rsid w:val="00415158"/>
    <w:rsid w:val="0041536F"/>
    <w:rsid w:val="00415634"/>
    <w:rsid w:val="00415E52"/>
    <w:rsid w:val="00415F9B"/>
    <w:rsid w:val="00415FF8"/>
    <w:rsid w:val="004164B9"/>
    <w:rsid w:val="004167FC"/>
    <w:rsid w:val="00416DA2"/>
    <w:rsid w:val="0041713E"/>
    <w:rsid w:val="004172E9"/>
    <w:rsid w:val="004174CF"/>
    <w:rsid w:val="00417924"/>
    <w:rsid w:val="00417E5C"/>
    <w:rsid w:val="00417FC4"/>
    <w:rsid w:val="00420025"/>
    <w:rsid w:val="0042080C"/>
    <w:rsid w:val="0042086B"/>
    <w:rsid w:val="0042110A"/>
    <w:rsid w:val="0042127C"/>
    <w:rsid w:val="004212BF"/>
    <w:rsid w:val="00421486"/>
    <w:rsid w:val="00421756"/>
    <w:rsid w:val="004218EF"/>
    <w:rsid w:val="0042195B"/>
    <w:rsid w:val="00421B1E"/>
    <w:rsid w:val="00421F24"/>
    <w:rsid w:val="00422054"/>
    <w:rsid w:val="0042217D"/>
    <w:rsid w:val="004221DA"/>
    <w:rsid w:val="00422304"/>
    <w:rsid w:val="00422EED"/>
    <w:rsid w:val="0042316A"/>
    <w:rsid w:val="00423230"/>
    <w:rsid w:val="0042382F"/>
    <w:rsid w:val="0042386C"/>
    <w:rsid w:val="00423B28"/>
    <w:rsid w:val="00423C94"/>
    <w:rsid w:val="00423DF5"/>
    <w:rsid w:val="00424007"/>
    <w:rsid w:val="00424156"/>
    <w:rsid w:val="00424215"/>
    <w:rsid w:val="00424499"/>
    <w:rsid w:val="0042467C"/>
    <w:rsid w:val="00424834"/>
    <w:rsid w:val="004249F9"/>
    <w:rsid w:val="0042564B"/>
    <w:rsid w:val="004257E1"/>
    <w:rsid w:val="00425811"/>
    <w:rsid w:val="00425818"/>
    <w:rsid w:val="004258A8"/>
    <w:rsid w:val="004258D7"/>
    <w:rsid w:val="00425BBC"/>
    <w:rsid w:val="00425E07"/>
    <w:rsid w:val="00426200"/>
    <w:rsid w:val="00426469"/>
    <w:rsid w:val="0042664D"/>
    <w:rsid w:val="00426752"/>
    <w:rsid w:val="00426B0A"/>
    <w:rsid w:val="00426BD3"/>
    <w:rsid w:val="00426F41"/>
    <w:rsid w:val="0042712E"/>
    <w:rsid w:val="00427411"/>
    <w:rsid w:val="00427696"/>
    <w:rsid w:val="00427794"/>
    <w:rsid w:val="004277EE"/>
    <w:rsid w:val="00427EDA"/>
    <w:rsid w:val="00430348"/>
    <w:rsid w:val="004303C7"/>
    <w:rsid w:val="004307AD"/>
    <w:rsid w:val="0043092A"/>
    <w:rsid w:val="00430F78"/>
    <w:rsid w:val="004311A0"/>
    <w:rsid w:val="00431C28"/>
    <w:rsid w:val="00431D3B"/>
    <w:rsid w:val="00431E56"/>
    <w:rsid w:val="00432356"/>
    <w:rsid w:val="00432379"/>
    <w:rsid w:val="0043254A"/>
    <w:rsid w:val="00432984"/>
    <w:rsid w:val="004329AB"/>
    <w:rsid w:val="00432A08"/>
    <w:rsid w:val="004332F6"/>
    <w:rsid w:val="00433365"/>
    <w:rsid w:val="004334CE"/>
    <w:rsid w:val="0043382A"/>
    <w:rsid w:val="00433CE0"/>
    <w:rsid w:val="00433D8F"/>
    <w:rsid w:val="00433F60"/>
    <w:rsid w:val="00434102"/>
    <w:rsid w:val="0043434C"/>
    <w:rsid w:val="0043454A"/>
    <w:rsid w:val="00434A24"/>
    <w:rsid w:val="00434DB6"/>
    <w:rsid w:val="00435309"/>
    <w:rsid w:val="004358C4"/>
    <w:rsid w:val="00436349"/>
    <w:rsid w:val="004365E3"/>
    <w:rsid w:val="004374ED"/>
    <w:rsid w:val="004376B2"/>
    <w:rsid w:val="00437F7E"/>
    <w:rsid w:val="004407D5"/>
    <w:rsid w:val="00441BF2"/>
    <w:rsid w:val="00441ED1"/>
    <w:rsid w:val="004423F8"/>
    <w:rsid w:val="00442F91"/>
    <w:rsid w:val="004432D2"/>
    <w:rsid w:val="0044386D"/>
    <w:rsid w:val="00443E58"/>
    <w:rsid w:val="004442E2"/>
    <w:rsid w:val="0044465C"/>
    <w:rsid w:val="004448B3"/>
    <w:rsid w:val="004448CD"/>
    <w:rsid w:val="00444921"/>
    <w:rsid w:val="00444A34"/>
    <w:rsid w:val="00444F31"/>
    <w:rsid w:val="004453FD"/>
    <w:rsid w:val="00445895"/>
    <w:rsid w:val="00445AA5"/>
    <w:rsid w:val="00445D0B"/>
    <w:rsid w:val="00445D50"/>
    <w:rsid w:val="00445E4D"/>
    <w:rsid w:val="00445FB3"/>
    <w:rsid w:val="00446060"/>
    <w:rsid w:val="004461E9"/>
    <w:rsid w:val="0044643B"/>
    <w:rsid w:val="00446938"/>
    <w:rsid w:val="00446CCE"/>
    <w:rsid w:val="004470B1"/>
    <w:rsid w:val="004470D7"/>
    <w:rsid w:val="00447AE9"/>
    <w:rsid w:val="00447D2B"/>
    <w:rsid w:val="004500FC"/>
    <w:rsid w:val="00450791"/>
    <w:rsid w:val="00450A34"/>
    <w:rsid w:val="00450F11"/>
    <w:rsid w:val="004513CB"/>
    <w:rsid w:val="00451601"/>
    <w:rsid w:val="0045180E"/>
    <w:rsid w:val="00451B7A"/>
    <w:rsid w:val="00451C14"/>
    <w:rsid w:val="00452218"/>
    <w:rsid w:val="00452413"/>
    <w:rsid w:val="0045257F"/>
    <w:rsid w:val="00452A10"/>
    <w:rsid w:val="00452DF6"/>
    <w:rsid w:val="00452F82"/>
    <w:rsid w:val="00453007"/>
    <w:rsid w:val="004530CD"/>
    <w:rsid w:val="004536A0"/>
    <w:rsid w:val="0045374D"/>
    <w:rsid w:val="00453EDD"/>
    <w:rsid w:val="00453EFE"/>
    <w:rsid w:val="00454145"/>
    <w:rsid w:val="004541C4"/>
    <w:rsid w:val="00454553"/>
    <w:rsid w:val="00454974"/>
    <w:rsid w:val="00454E4D"/>
    <w:rsid w:val="00454ECC"/>
    <w:rsid w:val="00454F56"/>
    <w:rsid w:val="00455189"/>
    <w:rsid w:val="0045530E"/>
    <w:rsid w:val="00455477"/>
    <w:rsid w:val="00455569"/>
    <w:rsid w:val="00455B50"/>
    <w:rsid w:val="00455E7A"/>
    <w:rsid w:val="00455F14"/>
    <w:rsid w:val="00456722"/>
    <w:rsid w:val="00456935"/>
    <w:rsid w:val="00456FA7"/>
    <w:rsid w:val="004576D0"/>
    <w:rsid w:val="0045790C"/>
    <w:rsid w:val="00457ECB"/>
    <w:rsid w:val="00460237"/>
    <w:rsid w:val="00460492"/>
    <w:rsid w:val="00460543"/>
    <w:rsid w:val="0046067F"/>
    <w:rsid w:val="004607AA"/>
    <w:rsid w:val="004608FB"/>
    <w:rsid w:val="004609D1"/>
    <w:rsid w:val="00460B56"/>
    <w:rsid w:val="00460CE1"/>
    <w:rsid w:val="00460E72"/>
    <w:rsid w:val="00460FC2"/>
    <w:rsid w:val="004610D8"/>
    <w:rsid w:val="004616A1"/>
    <w:rsid w:val="00461A02"/>
    <w:rsid w:val="00462476"/>
    <w:rsid w:val="004624E2"/>
    <w:rsid w:val="00462755"/>
    <w:rsid w:val="00462922"/>
    <w:rsid w:val="00463182"/>
    <w:rsid w:val="004633BA"/>
    <w:rsid w:val="00463B47"/>
    <w:rsid w:val="00463E6A"/>
    <w:rsid w:val="00463F06"/>
    <w:rsid w:val="0046437C"/>
    <w:rsid w:val="0046438A"/>
    <w:rsid w:val="004644EB"/>
    <w:rsid w:val="00464B4B"/>
    <w:rsid w:val="00464B8A"/>
    <w:rsid w:val="00464C76"/>
    <w:rsid w:val="00464E2B"/>
    <w:rsid w:val="00464F08"/>
    <w:rsid w:val="00465154"/>
    <w:rsid w:val="004653F2"/>
    <w:rsid w:val="0046547C"/>
    <w:rsid w:val="00465ADF"/>
    <w:rsid w:val="00465BAD"/>
    <w:rsid w:val="00465BE6"/>
    <w:rsid w:val="00465CD3"/>
    <w:rsid w:val="00465F7C"/>
    <w:rsid w:val="004660EF"/>
    <w:rsid w:val="00466281"/>
    <w:rsid w:val="004665C7"/>
    <w:rsid w:val="004667E2"/>
    <w:rsid w:val="00466B0F"/>
    <w:rsid w:val="00466C67"/>
    <w:rsid w:val="00466D70"/>
    <w:rsid w:val="00467148"/>
    <w:rsid w:val="0046783F"/>
    <w:rsid w:val="00467B6B"/>
    <w:rsid w:val="00467E17"/>
    <w:rsid w:val="00467EAF"/>
    <w:rsid w:val="004702E7"/>
    <w:rsid w:val="004704CF"/>
    <w:rsid w:val="004706EB"/>
    <w:rsid w:val="00470811"/>
    <w:rsid w:val="00470EB5"/>
    <w:rsid w:val="004711B2"/>
    <w:rsid w:val="004713AB"/>
    <w:rsid w:val="004716E4"/>
    <w:rsid w:val="00471742"/>
    <w:rsid w:val="00471D0C"/>
    <w:rsid w:val="00471F27"/>
    <w:rsid w:val="0047263B"/>
    <w:rsid w:val="0047279A"/>
    <w:rsid w:val="00472C25"/>
    <w:rsid w:val="00473043"/>
    <w:rsid w:val="00473070"/>
    <w:rsid w:val="00473071"/>
    <w:rsid w:val="0047336E"/>
    <w:rsid w:val="004737B7"/>
    <w:rsid w:val="00473B72"/>
    <w:rsid w:val="00473C85"/>
    <w:rsid w:val="004740CB"/>
    <w:rsid w:val="004742BB"/>
    <w:rsid w:val="00474E06"/>
    <w:rsid w:val="00474F3B"/>
    <w:rsid w:val="00474F7B"/>
    <w:rsid w:val="0047568B"/>
    <w:rsid w:val="0047595C"/>
    <w:rsid w:val="004759D3"/>
    <w:rsid w:val="00475BA4"/>
    <w:rsid w:val="00475C23"/>
    <w:rsid w:val="00475CC6"/>
    <w:rsid w:val="00475E0D"/>
    <w:rsid w:val="00475EB2"/>
    <w:rsid w:val="0047607E"/>
    <w:rsid w:val="0047610F"/>
    <w:rsid w:val="004765CC"/>
    <w:rsid w:val="0047671B"/>
    <w:rsid w:val="00476CE7"/>
    <w:rsid w:val="00476E5C"/>
    <w:rsid w:val="00476FB5"/>
    <w:rsid w:val="00477238"/>
    <w:rsid w:val="00477411"/>
    <w:rsid w:val="0047758F"/>
    <w:rsid w:val="004776F8"/>
    <w:rsid w:val="00477A35"/>
    <w:rsid w:val="00477CDE"/>
    <w:rsid w:val="00477DB5"/>
    <w:rsid w:val="004808BF"/>
    <w:rsid w:val="00481265"/>
    <w:rsid w:val="004814B2"/>
    <w:rsid w:val="004814ED"/>
    <w:rsid w:val="0048150E"/>
    <w:rsid w:val="004815B4"/>
    <w:rsid w:val="0048167D"/>
    <w:rsid w:val="0048193C"/>
    <w:rsid w:val="00481BD0"/>
    <w:rsid w:val="00481C9A"/>
    <w:rsid w:val="00481FE7"/>
    <w:rsid w:val="00482239"/>
    <w:rsid w:val="004825F3"/>
    <w:rsid w:val="004828B1"/>
    <w:rsid w:val="004831CF"/>
    <w:rsid w:val="004831F7"/>
    <w:rsid w:val="004834C6"/>
    <w:rsid w:val="0048363E"/>
    <w:rsid w:val="00483A53"/>
    <w:rsid w:val="00483DB0"/>
    <w:rsid w:val="00484034"/>
    <w:rsid w:val="0048403E"/>
    <w:rsid w:val="0048489A"/>
    <w:rsid w:val="00484E3C"/>
    <w:rsid w:val="00484E5A"/>
    <w:rsid w:val="00484FD1"/>
    <w:rsid w:val="00485273"/>
    <w:rsid w:val="00485535"/>
    <w:rsid w:val="00485605"/>
    <w:rsid w:val="0048564B"/>
    <w:rsid w:val="00485788"/>
    <w:rsid w:val="004857A2"/>
    <w:rsid w:val="00485A0A"/>
    <w:rsid w:val="00485CEE"/>
    <w:rsid w:val="00485E28"/>
    <w:rsid w:val="004866EA"/>
    <w:rsid w:val="0048677C"/>
    <w:rsid w:val="00486CED"/>
    <w:rsid w:val="00487259"/>
    <w:rsid w:val="004872A5"/>
    <w:rsid w:val="0048741B"/>
    <w:rsid w:val="004875A8"/>
    <w:rsid w:val="0048760A"/>
    <w:rsid w:val="00487626"/>
    <w:rsid w:val="004876CE"/>
    <w:rsid w:val="004876EC"/>
    <w:rsid w:val="00487F6D"/>
    <w:rsid w:val="004905CE"/>
    <w:rsid w:val="00490659"/>
    <w:rsid w:val="00490961"/>
    <w:rsid w:val="00490BB0"/>
    <w:rsid w:val="00491155"/>
    <w:rsid w:val="00491215"/>
    <w:rsid w:val="0049121D"/>
    <w:rsid w:val="00491599"/>
    <w:rsid w:val="004919AA"/>
    <w:rsid w:val="004927A8"/>
    <w:rsid w:val="004929A6"/>
    <w:rsid w:val="004929BD"/>
    <w:rsid w:val="00493588"/>
    <w:rsid w:val="00493707"/>
    <w:rsid w:val="004939B6"/>
    <w:rsid w:val="00493C16"/>
    <w:rsid w:val="0049408C"/>
    <w:rsid w:val="0049455C"/>
    <w:rsid w:val="00494788"/>
    <w:rsid w:val="00494E3A"/>
    <w:rsid w:val="00494F90"/>
    <w:rsid w:val="004957D9"/>
    <w:rsid w:val="0049580B"/>
    <w:rsid w:val="00495C16"/>
    <w:rsid w:val="00495F2D"/>
    <w:rsid w:val="004964B5"/>
    <w:rsid w:val="004964F4"/>
    <w:rsid w:val="004967A0"/>
    <w:rsid w:val="00496CB3"/>
    <w:rsid w:val="004970FC"/>
    <w:rsid w:val="004972B7"/>
    <w:rsid w:val="00497523"/>
    <w:rsid w:val="0049778F"/>
    <w:rsid w:val="004978BE"/>
    <w:rsid w:val="004978DD"/>
    <w:rsid w:val="004979D2"/>
    <w:rsid w:val="00497B99"/>
    <w:rsid w:val="00497CCD"/>
    <w:rsid w:val="00497D81"/>
    <w:rsid w:val="004A0129"/>
    <w:rsid w:val="004A0166"/>
    <w:rsid w:val="004A025D"/>
    <w:rsid w:val="004A068D"/>
    <w:rsid w:val="004A0937"/>
    <w:rsid w:val="004A0D9B"/>
    <w:rsid w:val="004A0E75"/>
    <w:rsid w:val="004A0F65"/>
    <w:rsid w:val="004A11A2"/>
    <w:rsid w:val="004A157E"/>
    <w:rsid w:val="004A1BEA"/>
    <w:rsid w:val="004A1FF2"/>
    <w:rsid w:val="004A20D1"/>
    <w:rsid w:val="004A21C2"/>
    <w:rsid w:val="004A2207"/>
    <w:rsid w:val="004A29F9"/>
    <w:rsid w:val="004A2CA7"/>
    <w:rsid w:val="004A2F5A"/>
    <w:rsid w:val="004A2F7D"/>
    <w:rsid w:val="004A2FC6"/>
    <w:rsid w:val="004A352E"/>
    <w:rsid w:val="004A42CA"/>
    <w:rsid w:val="004A4AEF"/>
    <w:rsid w:val="004A4D8C"/>
    <w:rsid w:val="004A4F4B"/>
    <w:rsid w:val="004A518A"/>
    <w:rsid w:val="004A649E"/>
    <w:rsid w:val="004A6A0E"/>
    <w:rsid w:val="004A6C08"/>
    <w:rsid w:val="004A6C93"/>
    <w:rsid w:val="004A6F86"/>
    <w:rsid w:val="004A700F"/>
    <w:rsid w:val="004A713C"/>
    <w:rsid w:val="004A7167"/>
    <w:rsid w:val="004A7554"/>
    <w:rsid w:val="004A7602"/>
    <w:rsid w:val="004A77A9"/>
    <w:rsid w:val="004A7DFF"/>
    <w:rsid w:val="004B0075"/>
    <w:rsid w:val="004B00C0"/>
    <w:rsid w:val="004B03FB"/>
    <w:rsid w:val="004B0866"/>
    <w:rsid w:val="004B0B66"/>
    <w:rsid w:val="004B14B0"/>
    <w:rsid w:val="004B15F3"/>
    <w:rsid w:val="004B18B5"/>
    <w:rsid w:val="004B1F75"/>
    <w:rsid w:val="004B2194"/>
    <w:rsid w:val="004B21C7"/>
    <w:rsid w:val="004B22C0"/>
    <w:rsid w:val="004B22CE"/>
    <w:rsid w:val="004B2379"/>
    <w:rsid w:val="004B23A8"/>
    <w:rsid w:val="004B243D"/>
    <w:rsid w:val="004B2642"/>
    <w:rsid w:val="004B2AAA"/>
    <w:rsid w:val="004B2D10"/>
    <w:rsid w:val="004B2D49"/>
    <w:rsid w:val="004B2E03"/>
    <w:rsid w:val="004B362B"/>
    <w:rsid w:val="004B3994"/>
    <w:rsid w:val="004B3FA5"/>
    <w:rsid w:val="004B43BF"/>
    <w:rsid w:val="004B4551"/>
    <w:rsid w:val="004B499C"/>
    <w:rsid w:val="004B4C2B"/>
    <w:rsid w:val="004B4C6D"/>
    <w:rsid w:val="004B56DF"/>
    <w:rsid w:val="004B58F3"/>
    <w:rsid w:val="004B5A00"/>
    <w:rsid w:val="004B5C55"/>
    <w:rsid w:val="004B612E"/>
    <w:rsid w:val="004B6130"/>
    <w:rsid w:val="004B6313"/>
    <w:rsid w:val="004B6A83"/>
    <w:rsid w:val="004B6F89"/>
    <w:rsid w:val="004B74BC"/>
    <w:rsid w:val="004B75E0"/>
    <w:rsid w:val="004B76CD"/>
    <w:rsid w:val="004B776E"/>
    <w:rsid w:val="004B79FE"/>
    <w:rsid w:val="004B7F62"/>
    <w:rsid w:val="004C0416"/>
    <w:rsid w:val="004C04D3"/>
    <w:rsid w:val="004C095F"/>
    <w:rsid w:val="004C099E"/>
    <w:rsid w:val="004C0BC5"/>
    <w:rsid w:val="004C0E3E"/>
    <w:rsid w:val="004C12AE"/>
    <w:rsid w:val="004C1410"/>
    <w:rsid w:val="004C1494"/>
    <w:rsid w:val="004C17B3"/>
    <w:rsid w:val="004C1E6C"/>
    <w:rsid w:val="004C1FE6"/>
    <w:rsid w:val="004C203B"/>
    <w:rsid w:val="004C22C1"/>
    <w:rsid w:val="004C257D"/>
    <w:rsid w:val="004C3033"/>
    <w:rsid w:val="004C30D8"/>
    <w:rsid w:val="004C30F8"/>
    <w:rsid w:val="004C356F"/>
    <w:rsid w:val="004C39DF"/>
    <w:rsid w:val="004C3C2D"/>
    <w:rsid w:val="004C3C8E"/>
    <w:rsid w:val="004C3D0C"/>
    <w:rsid w:val="004C4442"/>
    <w:rsid w:val="004C497C"/>
    <w:rsid w:val="004C4BC1"/>
    <w:rsid w:val="004C4F28"/>
    <w:rsid w:val="004C52DC"/>
    <w:rsid w:val="004C5CA0"/>
    <w:rsid w:val="004C5FDC"/>
    <w:rsid w:val="004C61AE"/>
    <w:rsid w:val="004C6275"/>
    <w:rsid w:val="004C6347"/>
    <w:rsid w:val="004C63DF"/>
    <w:rsid w:val="004C68F7"/>
    <w:rsid w:val="004C6C42"/>
    <w:rsid w:val="004C6D17"/>
    <w:rsid w:val="004C6EBA"/>
    <w:rsid w:val="004C7638"/>
    <w:rsid w:val="004C7955"/>
    <w:rsid w:val="004D057C"/>
    <w:rsid w:val="004D0CC3"/>
    <w:rsid w:val="004D0FF4"/>
    <w:rsid w:val="004D1474"/>
    <w:rsid w:val="004D1589"/>
    <w:rsid w:val="004D207B"/>
    <w:rsid w:val="004D20D3"/>
    <w:rsid w:val="004D23C2"/>
    <w:rsid w:val="004D2B1E"/>
    <w:rsid w:val="004D2D53"/>
    <w:rsid w:val="004D32AD"/>
    <w:rsid w:val="004D3A79"/>
    <w:rsid w:val="004D3E95"/>
    <w:rsid w:val="004D3ECD"/>
    <w:rsid w:val="004D43BF"/>
    <w:rsid w:val="004D4685"/>
    <w:rsid w:val="004D4A7D"/>
    <w:rsid w:val="004D51DF"/>
    <w:rsid w:val="004D52AE"/>
    <w:rsid w:val="004D52EC"/>
    <w:rsid w:val="004D5483"/>
    <w:rsid w:val="004D5569"/>
    <w:rsid w:val="004D568D"/>
    <w:rsid w:val="004D5821"/>
    <w:rsid w:val="004D5CC2"/>
    <w:rsid w:val="004D5E3F"/>
    <w:rsid w:val="004D5E43"/>
    <w:rsid w:val="004D5F02"/>
    <w:rsid w:val="004D6247"/>
    <w:rsid w:val="004D6353"/>
    <w:rsid w:val="004D638A"/>
    <w:rsid w:val="004D6682"/>
    <w:rsid w:val="004D6E3B"/>
    <w:rsid w:val="004D7005"/>
    <w:rsid w:val="004D7462"/>
    <w:rsid w:val="004D765B"/>
    <w:rsid w:val="004D7677"/>
    <w:rsid w:val="004D7809"/>
    <w:rsid w:val="004D7A46"/>
    <w:rsid w:val="004D7F5E"/>
    <w:rsid w:val="004E012E"/>
    <w:rsid w:val="004E02DE"/>
    <w:rsid w:val="004E0640"/>
    <w:rsid w:val="004E0772"/>
    <w:rsid w:val="004E143B"/>
    <w:rsid w:val="004E14CD"/>
    <w:rsid w:val="004E161A"/>
    <w:rsid w:val="004E1A76"/>
    <w:rsid w:val="004E1D7B"/>
    <w:rsid w:val="004E1D8B"/>
    <w:rsid w:val="004E1E71"/>
    <w:rsid w:val="004E1F4C"/>
    <w:rsid w:val="004E226D"/>
    <w:rsid w:val="004E2272"/>
    <w:rsid w:val="004E2329"/>
    <w:rsid w:val="004E245C"/>
    <w:rsid w:val="004E251E"/>
    <w:rsid w:val="004E25F8"/>
    <w:rsid w:val="004E26F1"/>
    <w:rsid w:val="004E2944"/>
    <w:rsid w:val="004E2E1F"/>
    <w:rsid w:val="004E3479"/>
    <w:rsid w:val="004E3C6C"/>
    <w:rsid w:val="004E3EEB"/>
    <w:rsid w:val="004E4492"/>
    <w:rsid w:val="004E4890"/>
    <w:rsid w:val="004E4C7C"/>
    <w:rsid w:val="004E4CBB"/>
    <w:rsid w:val="004E4FA3"/>
    <w:rsid w:val="004E4FCA"/>
    <w:rsid w:val="004E5274"/>
    <w:rsid w:val="004E58BF"/>
    <w:rsid w:val="004E5979"/>
    <w:rsid w:val="004E59AA"/>
    <w:rsid w:val="004E5B43"/>
    <w:rsid w:val="004E5C56"/>
    <w:rsid w:val="004E5C67"/>
    <w:rsid w:val="004E633E"/>
    <w:rsid w:val="004E67EC"/>
    <w:rsid w:val="004E6978"/>
    <w:rsid w:val="004E69C6"/>
    <w:rsid w:val="004E6C4B"/>
    <w:rsid w:val="004E7442"/>
    <w:rsid w:val="004E77F4"/>
    <w:rsid w:val="004E7A9D"/>
    <w:rsid w:val="004F003C"/>
    <w:rsid w:val="004F0393"/>
    <w:rsid w:val="004F09ED"/>
    <w:rsid w:val="004F0D19"/>
    <w:rsid w:val="004F0EBB"/>
    <w:rsid w:val="004F10CA"/>
    <w:rsid w:val="004F1256"/>
    <w:rsid w:val="004F12FC"/>
    <w:rsid w:val="004F13E9"/>
    <w:rsid w:val="004F1411"/>
    <w:rsid w:val="004F1527"/>
    <w:rsid w:val="004F2272"/>
    <w:rsid w:val="004F2401"/>
    <w:rsid w:val="004F25E7"/>
    <w:rsid w:val="004F2681"/>
    <w:rsid w:val="004F289D"/>
    <w:rsid w:val="004F3000"/>
    <w:rsid w:val="004F3061"/>
    <w:rsid w:val="004F396D"/>
    <w:rsid w:val="004F3A18"/>
    <w:rsid w:val="004F3ABF"/>
    <w:rsid w:val="004F3D72"/>
    <w:rsid w:val="004F3FB5"/>
    <w:rsid w:val="004F4633"/>
    <w:rsid w:val="004F4638"/>
    <w:rsid w:val="004F47D2"/>
    <w:rsid w:val="004F49FE"/>
    <w:rsid w:val="004F4C2A"/>
    <w:rsid w:val="004F53BF"/>
    <w:rsid w:val="004F54B6"/>
    <w:rsid w:val="004F5FAB"/>
    <w:rsid w:val="004F5FFF"/>
    <w:rsid w:val="004F606A"/>
    <w:rsid w:val="004F649E"/>
    <w:rsid w:val="004F6B24"/>
    <w:rsid w:val="004F7094"/>
    <w:rsid w:val="004F7638"/>
    <w:rsid w:val="004F7700"/>
    <w:rsid w:val="004F77AB"/>
    <w:rsid w:val="005001E2"/>
    <w:rsid w:val="00500678"/>
    <w:rsid w:val="00500C21"/>
    <w:rsid w:val="00501762"/>
    <w:rsid w:val="0050193A"/>
    <w:rsid w:val="00501E8F"/>
    <w:rsid w:val="0050258A"/>
    <w:rsid w:val="005025BE"/>
    <w:rsid w:val="005029DF"/>
    <w:rsid w:val="00502A1E"/>
    <w:rsid w:val="0050309B"/>
    <w:rsid w:val="005039F7"/>
    <w:rsid w:val="005039F8"/>
    <w:rsid w:val="00503B90"/>
    <w:rsid w:val="00503CF4"/>
    <w:rsid w:val="005040A6"/>
    <w:rsid w:val="005043A8"/>
    <w:rsid w:val="00504841"/>
    <w:rsid w:val="00504887"/>
    <w:rsid w:val="00504D34"/>
    <w:rsid w:val="00504D92"/>
    <w:rsid w:val="00504F9E"/>
    <w:rsid w:val="00505163"/>
    <w:rsid w:val="005053A0"/>
    <w:rsid w:val="005053DB"/>
    <w:rsid w:val="0050580C"/>
    <w:rsid w:val="005058F8"/>
    <w:rsid w:val="00505D1C"/>
    <w:rsid w:val="00505DBB"/>
    <w:rsid w:val="005060C9"/>
    <w:rsid w:val="00506293"/>
    <w:rsid w:val="005062C7"/>
    <w:rsid w:val="00506504"/>
    <w:rsid w:val="00506A9B"/>
    <w:rsid w:val="005072A1"/>
    <w:rsid w:val="005074E5"/>
    <w:rsid w:val="00507967"/>
    <w:rsid w:val="00507C3E"/>
    <w:rsid w:val="00510352"/>
    <w:rsid w:val="00510988"/>
    <w:rsid w:val="00510EB1"/>
    <w:rsid w:val="00510F20"/>
    <w:rsid w:val="00510FB0"/>
    <w:rsid w:val="0051102F"/>
    <w:rsid w:val="005112F3"/>
    <w:rsid w:val="005126BA"/>
    <w:rsid w:val="00512899"/>
    <w:rsid w:val="005128DA"/>
    <w:rsid w:val="00512917"/>
    <w:rsid w:val="00512F40"/>
    <w:rsid w:val="00513061"/>
    <w:rsid w:val="0051345C"/>
    <w:rsid w:val="005134F9"/>
    <w:rsid w:val="00513C2E"/>
    <w:rsid w:val="005140D8"/>
    <w:rsid w:val="0051419C"/>
    <w:rsid w:val="00514880"/>
    <w:rsid w:val="00515AA8"/>
    <w:rsid w:val="00515EB8"/>
    <w:rsid w:val="00515F98"/>
    <w:rsid w:val="00516127"/>
    <w:rsid w:val="0051639D"/>
    <w:rsid w:val="00516621"/>
    <w:rsid w:val="005167F3"/>
    <w:rsid w:val="00516CA7"/>
    <w:rsid w:val="005175E2"/>
    <w:rsid w:val="00517DE4"/>
    <w:rsid w:val="0052016B"/>
    <w:rsid w:val="0052092D"/>
    <w:rsid w:val="00520C21"/>
    <w:rsid w:val="00520D35"/>
    <w:rsid w:val="00520D6F"/>
    <w:rsid w:val="00520E4C"/>
    <w:rsid w:val="00521005"/>
    <w:rsid w:val="00521231"/>
    <w:rsid w:val="005213C0"/>
    <w:rsid w:val="005216E1"/>
    <w:rsid w:val="00521706"/>
    <w:rsid w:val="00521897"/>
    <w:rsid w:val="00521BF5"/>
    <w:rsid w:val="00521E81"/>
    <w:rsid w:val="00521FA1"/>
    <w:rsid w:val="005224D3"/>
    <w:rsid w:val="00522A4D"/>
    <w:rsid w:val="00522E15"/>
    <w:rsid w:val="00522E26"/>
    <w:rsid w:val="00523122"/>
    <w:rsid w:val="00523250"/>
    <w:rsid w:val="005232BF"/>
    <w:rsid w:val="00523320"/>
    <w:rsid w:val="00523691"/>
    <w:rsid w:val="005238B5"/>
    <w:rsid w:val="00523A8B"/>
    <w:rsid w:val="00523E22"/>
    <w:rsid w:val="00523F14"/>
    <w:rsid w:val="00524324"/>
    <w:rsid w:val="005243EE"/>
    <w:rsid w:val="0052449A"/>
    <w:rsid w:val="0052454C"/>
    <w:rsid w:val="00524A80"/>
    <w:rsid w:val="00524AAD"/>
    <w:rsid w:val="00524D09"/>
    <w:rsid w:val="00524DC7"/>
    <w:rsid w:val="00524E32"/>
    <w:rsid w:val="00524F29"/>
    <w:rsid w:val="005256AA"/>
    <w:rsid w:val="0052575A"/>
    <w:rsid w:val="0052586C"/>
    <w:rsid w:val="00525ACE"/>
    <w:rsid w:val="00525D43"/>
    <w:rsid w:val="00526194"/>
    <w:rsid w:val="005264BF"/>
    <w:rsid w:val="00526AC9"/>
    <w:rsid w:val="00526B3A"/>
    <w:rsid w:val="00526BBF"/>
    <w:rsid w:val="00526BFA"/>
    <w:rsid w:val="005271A4"/>
    <w:rsid w:val="005273FB"/>
    <w:rsid w:val="00527660"/>
    <w:rsid w:val="005276A9"/>
    <w:rsid w:val="00527BFA"/>
    <w:rsid w:val="00527C77"/>
    <w:rsid w:val="00527EA5"/>
    <w:rsid w:val="00527F5D"/>
    <w:rsid w:val="0053003D"/>
    <w:rsid w:val="005301AD"/>
    <w:rsid w:val="005303A1"/>
    <w:rsid w:val="005309CF"/>
    <w:rsid w:val="00530C31"/>
    <w:rsid w:val="00530CB6"/>
    <w:rsid w:val="00530CC2"/>
    <w:rsid w:val="00530D2C"/>
    <w:rsid w:val="005311CC"/>
    <w:rsid w:val="005311D3"/>
    <w:rsid w:val="00531294"/>
    <w:rsid w:val="005312EB"/>
    <w:rsid w:val="005315A2"/>
    <w:rsid w:val="005317CD"/>
    <w:rsid w:val="0053190D"/>
    <w:rsid w:val="005325D1"/>
    <w:rsid w:val="00532772"/>
    <w:rsid w:val="0053287D"/>
    <w:rsid w:val="00532A8C"/>
    <w:rsid w:val="00532B71"/>
    <w:rsid w:val="00532ECE"/>
    <w:rsid w:val="00533ABD"/>
    <w:rsid w:val="00533C62"/>
    <w:rsid w:val="00533D59"/>
    <w:rsid w:val="00534342"/>
    <w:rsid w:val="0053452B"/>
    <w:rsid w:val="005346DA"/>
    <w:rsid w:val="00534E0A"/>
    <w:rsid w:val="00534E79"/>
    <w:rsid w:val="00535015"/>
    <w:rsid w:val="0053505E"/>
    <w:rsid w:val="005353AA"/>
    <w:rsid w:val="00535542"/>
    <w:rsid w:val="00535678"/>
    <w:rsid w:val="00535E5B"/>
    <w:rsid w:val="00535F5B"/>
    <w:rsid w:val="00535F87"/>
    <w:rsid w:val="00535FDF"/>
    <w:rsid w:val="0053636A"/>
    <w:rsid w:val="00536EAC"/>
    <w:rsid w:val="00537179"/>
    <w:rsid w:val="005371D8"/>
    <w:rsid w:val="005379A7"/>
    <w:rsid w:val="00540808"/>
    <w:rsid w:val="00540870"/>
    <w:rsid w:val="005408B5"/>
    <w:rsid w:val="00540935"/>
    <w:rsid w:val="00540961"/>
    <w:rsid w:val="00540B1F"/>
    <w:rsid w:val="00540BFD"/>
    <w:rsid w:val="00540F31"/>
    <w:rsid w:val="00540F39"/>
    <w:rsid w:val="0054121C"/>
    <w:rsid w:val="00541235"/>
    <w:rsid w:val="0054125C"/>
    <w:rsid w:val="00541590"/>
    <w:rsid w:val="005417D0"/>
    <w:rsid w:val="00542276"/>
    <w:rsid w:val="00542409"/>
    <w:rsid w:val="0054305F"/>
    <w:rsid w:val="00543976"/>
    <w:rsid w:val="005439B7"/>
    <w:rsid w:val="00543B3F"/>
    <w:rsid w:val="00543B97"/>
    <w:rsid w:val="0054403B"/>
    <w:rsid w:val="0054412D"/>
    <w:rsid w:val="00544268"/>
    <w:rsid w:val="005442DF"/>
    <w:rsid w:val="0054434A"/>
    <w:rsid w:val="0054437E"/>
    <w:rsid w:val="005443C3"/>
    <w:rsid w:val="0054443C"/>
    <w:rsid w:val="005448C9"/>
    <w:rsid w:val="00544DC0"/>
    <w:rsid w:val="00545085"/>
    <w:rsid w:val="005454C8"/>
    <w:rsid w:val="00545626"/>
    <w:rsid w:val="0054633C"/>
    <w:rsid w:val="00546345"/>
    <w:rsid w:val="0054636E"/>
    <w:rsid w:val="00546700"/>
    <w:rsid w:val="00546A40"/>
    <w:rsid w:val="00546A86"/>
    <w:rsid w:val="00546CA1"/>
    <w:rsid w:val="00546EA7"/>
    <w:rsid w:val="0054786F"/>
    <w:rsid w:val="00547BD9"/>
    <w:rsid w:val="00547D49"/>
    <w:rsid w:val="00550213"/>
    <w:rsid w:val="00550DB8"/>
    <w:rsid w:val="00551291"/>
    <w:rsid w:val="005513F9"/>
    <w:rsid w:val="00551563"/>
    <w:rsid w:val="00551739"/>
    <w:rsid w:val="00551800"/>
    <w:rsid w:val="00551892"/>
    <w:rsid w:val="0055200A"/>
    <w:rsid w:val="005523A5"/>
    <w:rsid w:val="00552BAD"/>
    <w:rsid w:val="00552E0E"/>
    <w:rsid w:val="0055359B"/>
    <w:rsid w:val="0055391C"/>
    <w:rsid w:val="00553B58"/>
    <w:rsid w:val="00554205"/>
    <w:rsid w:val="005543D5"/>
    <w:rsid w:val="005547B1"/>
    <w:rsid w:val="00554810"/>
    <w:rsid w:val="00554F38"/>
    <w:rsid w:val="00555153"/>
    <w:rsid w:val="005551B0"/>
    <w:rsid w:val="00555628"/>
    <w:rsid w:val="005558CC"/>
    <w:rsid w:val="00555D19"/>
    <w:rsid w:val="00555EB2"/>
    <w:rsid w:val="00556395"/>
    <w:rsid w:val="00556A44"/>
    <w:rsid w:val="00556E1D"/>
    <w:rsid w:val="00556E89"/>
    <w:rsid w:val="005572E6"/>
    <w:rsid w:val="0055747D"/>
    <w:rsid w:val="005576BE"/>
    <w:rsid w:val="00557706"/>
    <w:rsid w:val="00557BA4"/>
    <w:rsid w:val="00557D2B"/>
    <w:rsid w:val="00560197"/>
    <w:rsid w:val="00560618"/>
    <w:rsid w:val="00560725"/>
    <w:rsid w:val="00560C55"/>
    <w:rsid w:val="00560D46"/>
    <w:rsid w:val="00560F64"/>
    <w:rsid w:val="00561232"/>
    <w:rsid w:val="0056189E"/>
    <w:rsid w:val="005619D9"/>
    <w:rsid w:val="00561BE5"/>
    <w:rsid w:val="00561CA7"/>
    <w:rsid w:val="00562019"/>
    <w:rsid w:val="005629C1"/>
    <w:rsid w:val="00562A31"/>
    <w:rsid w:val="00562B30"/>
    <w:rsid w:val="00562F7B"/>
    <w:rsid w:val="0056301A"/>
    <w:rsid w:val="005634DB"/>
    <w:rsid w:val="00563642"/>
    <w:rsid w:val="00563756"/>
    <w:rsid w:val="0056473C"/>
    <w:rsid w:val="0056498C"/>
    <w:rsid w:val="005649BF"/>
    <w:rsid w:val="00564B8E"/>
    <w:rsid w:val="00564C82"/>
    <w:rsid w:val="005651DD"/>
    <w:rsid w:val="0056520D"/>
    <w:rsid w:val="0056530E"/>
    <w:rsid w:val="005653EB"/>
    <w:rsid w:val="00565BA8"/>
    <w:rsid w:val="00565BC1"/>
    <w:rsid w:val="00565CE3"/>
    <w:rsid w:val="00565DB1"/>
    <w:rsid w:val="005661DC"/>
    <w:rsid w:val="0056639C"/>
    <w:rsid w:val="00566565"/>
    <w:rsid w:val="00566D8D"/>
    <w:rsid w:val="00567033"/>
    <w:rsid w:val="005677C0"/>
    <w:rsid w:val="00567AAE"/>
    <w:rsid w:val="00567B09"/>
    <w:rsid w:val="00567B9D"/>
    <w:rsid w:val="00567C2C"/>
    <w:rsid w:val="00567ECF"/>
    <w:rsid w:val="00570183"/>
    <w:rsid w:val="0057028C"/>
    <w:rsid w:val="0057052F"/>
    <w:rsid w:val="00570A8E"/>
    <w:rsid w:val="00570CDF"/>
    <w:rsid w:val="00571233"/>
    <w:rsid w:val="00571393"/>
    <w:rsid w:val="00571A2B"/>
    <w:rsid w:val="00571C4B"/>
    <w:rsid w:val="00571F96"/>
    <w:rsid w:val="005721FD"/>
    <w:rsid w:val="00572249"/>
    <w:rsid w:val="0057304A"/>
    <w:rsid w:val="0057320B"/>
    <w:rsid w:val="00573557"/>
    <w:rsid w:val="0057378F"/>
    <w:rsid w:val="00573865"/>
    <w:rsid w:val="005738D3"/>
    <w:rsid w:val="00573A07"/>
    <w:rsid w:val="00573A99"/>
    <w:rsid w:val="00573C01"/>
    <w:rsid w:val="005745A6"/>
    <w:rsid w:val="00574CFA"/>
    <w:rsid w:val="00574E62"/>
    <w:rsid w:val="00575226"/>
    <w:rsid w:val="00575423"/>
    <w:rsid w:val="0057572C"/>
    <w:rsid w:val="00575917"/>
    <w:rsid w:val="0057591B"/>
    <w:rsid w:val="00575B46"/>
    <w:rsid w:val="00575EFE"/>
    <w:rsid w:val="0057627A"/>
    <w:rsid w:val="0057677F"/>
    <w:rsid w:val="00576AD3"/>
    <w:rsid w:val="0057795B"/>
    <w:rsid w:val="005779FD"/>
    <w:rsid w:val="00577D42"/>
    <w:rsid w:val="00577E78"/>
    <w:rsid w:val="0058002C"/>
    <w:rsid w:val="0058020D"/>
    <w:rsid w:val="0058043D"/>
    <w:rsid w:val="005805CE"/>
    <w:rsid w:val="00580629"/>
    <w:rsid w:val="00580C90"/>
    <w:rsid w:val="00580DC9"/>
    <w:rsid w:val="00580FE6"/>
    <w:rsid w:val="00581375"/>
    <w:rsid w:val="005814A2"/>
    <w:rsid w:val="00581543"/>
    <w:rsid w:val="005821A6"/>
    <w:rsid w:val="0058251E"/>
    <w:rsid w:val="00582900"/>
    <w:rsid w:val="00582BE0"/>
    <w:rsid w:val="00582D89"/>
    <w:rsid w:val="00583089"/>
    <w:rsid w:val="005833BD"/>
    <w:rsid w:val="00583711"/>
    <w:rsid w:val="00583743"/>
    <w:rsid w:val="005838F5"/>
    <w:rsid w:val="00583977"/>
    <w:rsid w:val="0058400A"/>
    <w:rsid w:val="005854F6"/>
    <w:rsid w:val="00586581"/>
    <w:rsid w:val="00586722"/>
    <w:rsid w:val="00586A14"/>
    <w:rsid w:val="00586B99"/>
    <w:rsid w:val="00587004"/>
    <w:rsid w:val="0058722B"/>
    <w:rsid w:val="00587405"/>
    <w:rsid w:val="0058743C"/>
    <w:rsid w:val="00587AB5"/>
    <w:rsid w:val="005901CB"/>
    <w:rsid w:val="005901D3"/>
    <w:rsid w:val="005905D0"/>
    <w:rsid w:val="0059098B"/>
    <w:rsid w:val="00590993"/>
    <w:rsid w:val="00590AF6"/>
    <w:rsid w:val="00590CA9"/>
    <w:rsid w:val="00590D7C"/>
    <w:rsid w:val="005910BD"/>
    <w:rsid w:val="005914FD"/>
    <w:rsid w:val="00591860"/>
    <w:rsid w:val="00591D4F"/>
    <w:rsid w:val="00591E10"/>
    <w:rsid w:val="00591EC2"/>
    <w:rsid w:val="005920BE"/>
    <w:rsid w:val="00592382"/>
    <w:rsid w:val="00592B34"/>
    <w:rsid w:val="00592B97"/>
    <w:rsid w:val="00592F7D"/>
    <w:rsid w:val="00592F83"/>
    <w:rsid w:val="00593CFD"/>
    <w:rsid w:val="00594047"/>
    <w:rsid w:val="005944BB"/>
    <w:rsid w:val="00594589"/>
    <w:rsid w:val="0059459F"/>
    <w:rsid w:val="00594C29"/>
    <w:rsid w:val="0059503E"/>
    <w:rsid w:val="00595366"/>
    <w:rsid w:val="00595622"/>
    <w:rsid w:val="00595A5F"/>
    <w:rsid w:val="00595C50"/>
    <w:rsid w:val="00595DAE"/>
    <w:rsid w:val="00595E3D"/>
    <w:rsid w:val="00596024"/>
    <w:rsid w:val="00596622"/>
    <w:rsid w:val="00596785"/>
    <w:rsid w:val="005967AD"/>
    <w:rsid w:val="0059680D"/>
    <w:rsid w:val="00596D9E"/>
    <w:rsid w:val="0059766C"/>
    <w:rsid w:val="00597882"/>
    <w:rsid w:val="00597C40"/>
    <w:rsid w:val="005A065E"/>
    <w:rsid w:val="005A07AF"/>
    <w:rsid w:val="005A0905"/>
    <w:rsid w:val="005A0917"/>
    <w:rsid w:val="005A0DB5"/>
    <w:rsid w:val="005A19B9"/>
    <w:rsid w:val="005A19EC"/>
    <w:rsid w:val="005A1BFA"/>
    <w:rsid w:val="005A2122"/>
    <w:rsid w:val="005A23F5"/>
    <w:rsid w:val="005A246C"/>
    <w:rsid w:val="005A25D7"/>
    <w:rsid w:val="005A285E"/>
    <w:rsid w:val="005A2A63"/>
    <w:rsid w:val="005A32B7"/>
    <w:rsid w:val="005A3599"/>
    <w:rsid w:val="005A373F"/>
    <w:rsid w:val="005A381C"/>
    <w:rsid w:val="005A3CB8"/>
    <w:rsid w:val="005A411D"/>
    <w:rsid w:val="005A422D"/>
    <w:rsid w:val="005A45BC"/>
    <w:rsid w:val="005A4605"/>
    <w:rsid w:val="005A4625"/>
    <w:rsid w:val="005A4D96"/>
    <w:rsid w:val="005A4DD5"/>
    <w:rsid w:val="005A4E18"/>
    <w:rsid w:val="005A5585"/>
    <w:rsid w:val="005A59E1"/>
    <w:rsid w:val="005A5ACD"/>
    <w:rsid w:val="005A5AE9"/>
    <w:rsid w:val="005A5C8A"/>
    <w:rsid w:val="005A5DB9"/>
    <w:rsid w:val="005A6008"/>
    <w:rsid w:val="005A6251"/>
    <w:rsid w:val="005A6294"/>
    <w:rsid w:val="005A6ACB"/>
    <w:rsid w:val="005A6C2E"/>
    <w:rsid w:val="005A714C"/>
    <w:rsid w:val="005A735B"/>
    <w:rsid w:val="005A7A16"/>
    <w:rsid w:val="005A7ACF"/>
    <w:rsid w:val="005A7AE4"/>
    <w:rsid w:val="005A7B50"/>
    <w:rsid w:val="005A7C12"/>
    <w:rsid w:val="005A7CFB"/>
    <w:rsid w:val="005B01B2"/>
    <w:rsid w:val="005B084C"/>
    <w:rsid w:val="005B0A2D"/>
    <w:rsid w:val="005B0AA0"/>
    <w:rsid w:val="005B0B38"/>
    <w:rsid w:val="005B102F"/>
    <w:rsid w:val="005B10B7"/>
    <w:rsid w:val="005B128F"/>
    <w:rsid w:val="005B129C"/>
    <w:rsid w:val="005B1302"/>
    <w:rsid w:val="005B132F"/>
    <w:rsid w:val="005B1617"/>
    <w:rsid w:val="005B177A"/>
    <w:rsid w:val="005B1827"/>
    <w:rsid w:val="005B192D"/>
    <w:rsid w:val="005B1D85"/>
    <w:rsid w:val="005B1E7A"/>
    <w:rsid w:val="005B2073"/>
    <w:rsid w:val="005B2115"/>
    <w:rsid w:val="005B21C6"/>
    <w:rsid w:val="005B2223"/>
    <w:rsid w:val="005B222C"/>
    <w:rsid w:val="005B287E"/>
    <w:rsid w:val="005B2939"/>
    <w:rsid w:val="005B2C71"/>
    <w:rsid w:val="005B2C86"/>
    <w:rsid w:val="005B2E7C"/>
    <w:rsid w:val="005B3055"/>
    <w:rsid w:val="005B31BA"/>
    <w:rsid w:val="005B3328"/>
    <w:rsid w:val="005B36BD"/>
    <w:rsid w:val="005B3791"/>
    <w:rsid w:val="005B38B0"/>
    <w:rsid w:val="005B391F"/>
    <w:rsid w:val="005B45E4"/>
    <w:rsid w:val="005B5377"/>
    <w:rsid w:val="005B5696"/>
    <w:rsid w:val="005B59DA"/>
    <w:rsid w:val="005B5CE0"/>
    <w:rsid w:val="005B6264"/>
    <w:rsid w:val="005B63AC"/>
    <w:rsid w:val="005B67D0"/>
    <w:rsid w:val="005B6D63"/>
    <w:rsid w:val="005B6D99"/>
    <w:rsid w:val="005B6F76"/>
    <w:rsid w:val="005B6FD8"/>
    <w:rsid w:val="005B7245"/>
    <w:rsid w:val="005B76DB"/>
    <w:rsid w:val="005B7B20"/>
    <w:rsid w:val="005B7D2B"/>
    <w:rsid w:val="005C078E"/>
    <w:rsid w:val="005C0914"/>
    <w:rsid w:val="005C099C"/>
    <w:rsid w:val="005C118F"/>
    <w:rsid w:val="005C12BF"/>
    <w:rsid w:val="005C162D"/>
    <w:rsid w:val="005C1673"/>
    <w:rsid w:val="005C17A3"/>
    <w:rsid w:val="005C17AE"/>
    <w:rsid w:val="005C1866"/>
    <w:rsid w:val="005C1BF9"/>
    <w:rsid w:val="005C1CA4"/>
    <w:rsid w:val="005C1D1B"/>
    <w:rsid w:val="005C1D40"/>
    <w:rsid w:val="005C1D4B"/>
    <w:rsid w:val="005C2216"/>
    <w:rsid w:val="005C2453"/>
    <w:rsid w:val="005C26C4"/>
    <w:rsid w:val="005C2B54"/>
    <w:rsid w:val="005C2B61"/>
    <w:rsid w:val="005C2FF3"/>
    <w:rsid w:val="005C301D"/>
    <w:rsid w:val="005C327B"/>
    <w:rsid w:val="005C342D"/>
    <w:rsid w:val="005C3AD2"/>
    <w:rsid w:val="005C3AEA"/>
    <w:rsid w:val="005C3AF6"/>
    <w:rsid w:val="005C3BB2"/>
    <w:rsid w:val="005C3CC3"/>
    <w:rsid w:val="005C44C9"/>
    <w:rsid w:val="005C487F"/>
    <w:rsid w:val="005C4CB5"/>
    <w:rsid w:val="005C4CD9"/>
    <w:rsid w:val="005C4CF8"/>
    <w:rsid w:val="005C503B"/>
    <w:rsid w:val="005C507A"/>
    <w:rsid w:val="005C5632"/>
    <w:rsid w:val="005C5703"/>
    <w:rsid w:val="005C5CDE"/>
    <w:rsid w:val="005C65ED"/>
    <w:rsid w:val="005C6704"/>
    <w:rsid w:val="005C690D"/>
    <w:rsid w:val="005C6DE5"/>
    <w:rsid w:val="005C70E0"/>
    <w:rsid w:val="005C7676"/>
    <w:rsid w:val="005C769B"/>
    <w:rsid w:val="005C7716"/>
    <w:rsid w:val="005C7E06"/>
    <w:rsid w:val="005D0050"/>
    <w:rsid w:val="005D0883"/>
    <w:rsid w:val="005D0951"/>
    <w:rsid w:val="005D0E9E"/>
    <w:rsid w:val="005D103C"/>
    <w:rsid w:val="005D10BD"/>
    <w:rsid w:val="005D1134"/>
    <w:rsid w:val="005D128B"/>
    <w:rsid w:val="005D1312"/>
    <w:rsid w:val="005D1548"/>
    <w:rsid w:val="005D15C9"/>
    <w:rsid w:val="005D194B"/>
    <w:rsid w:val="005D1BD2"/>
    <w:rsid w:val="005D1C0E"/>
    <w:rsid w:val="005D2181"/>
    <w:rsid w:val="005D2DCF"/>
    <w:rsid w:val="005D3193"/>
    <w:rsid w:val="005D3687"/>
    <w:rsid w:val="005D38E3"/>
    <w:rsid w:val="005D3D4D"/>
    <w:rsid w:val="005D3D7A"/>
    <w:rsid w:val="005D40D0"/>
    <w:rsid w:val="005D4787"/>
    <w:rsid w:val="005D4D3D"/>
    <w:rsid w:val="005D500D"/>
    <w:rsid w:val="005D51B9"/>
    <w:rsid w:val="005D54E5"/>
    <w:rsid w:val="005D5796"/>
    <w:rsid w:val="005D597F"/>
    <w:rsid w:val="005D5C44"/>
    <w:rsid w:val="005D5D45"/>
    <w:rsid w:val="005D6034"/>
    <w:rsid w:val="005D62AD"/>
    <w:rsid w:val="005D636E"/>
    <w:rsid w:val="005D63BB"/>
    <w:rsid w:val="005D6487"/>
    <w:rsid w:val="005D6643"/>
    <w:rsid w:val="005D6993"/>
    <w:rsid w:val="005D6AD0"/>
    <w:rsid w:val="005D7117"/>
    <w:rsid w:val="005D7505"/>
    <w:rsid w:val="005D762C"/>
    <w:rsid w:val="005D7C28"/>
    <w:rsid w:val="005E02CB"/>
    <w:rsid w:val="005E04F7"/>
    <w:rsid w:val="005E0BE1"/>
    <w:rsid w:val="005E1174"/>
    <w:rsid w:val="005E11DE"/>
    <w:rsid w:val="005E1729"/>
    <w:rsid w:val="005E1770"/>
    <w:rsid w:val="005E1C18"/>
    <w:rsid w:val="005E260C"/>
    <w:rsid w:val="005E276A"/>
    <w:rsid w:val="005E2827"/>
    <w:rsid w:val="005E2E92"/>
    <w:rsid w:val="005E2F17"/>
    <w:rsid w:val="005E2FA1"/>
    <w:rsid w:val="005E30DE"/>
    <w:rsid w:val="005E31ED"/>
    <w:rsid w:val="005E33F3"/>
    <w:rsid w:val="005E3593"/>
    <w:rsid w:val="005E3617"/>
    <w:rsid w:val="005E3A17"/>
    <w:rsid w:val="005E3A51"/>
    <w:rsid w:val="005E3DB1"/>
    <w:rsid w:val="005E3E6E"/>
    <w:rsid w:val="005E4188"/>
    <w:rsid w:val="005E4380"/>
    <w:rsid w:val="005E494D"/>
    <w:rsid w:val="005E4A6E"/>
    <w:rsid w:val="005E514E"/>
    <w:rsid w:val="005E55D1"/>
    <w:rsid w:val="005E56B5"/>
    <w:rsid w:val="005E6B7C"/>
    <w:rsid w:val="005E6C7C"/>
    <w:rsid w:val="005E6C8F"/>
    <w:rsid w:val="005E6CD7"/>
    <w:rsid w:val="005E6DC4"/>
    <w:rsid w:val="005E7036"/>
    <w:rsid w:val="005E7A51"/>
    <w:rsid w:val="005E7AD1"/>
    <w:rsid w:val="005E7B21"/>
    <w:rsid w:val="005F0022"/>
    <w:rsid w:val="005F0109"/>
    <w:rsid w:val="005F06FB"/>
    <w:rsid w:val="005F0B4F"/>
    <w:rsid w:val="005F0BE1"/>
    <w:rsid w:val="005F113E"/>
    <w:rsid w:val="005F1274"/>
    <w:rsid w:val="005F174C"/>
    <w:rsid w:val="005F1B75"/>
    <w:rsid w:val="005F20A3"/>
    <w:rsid w:val="005F215C"/>
    <w:rsid w:val="005F217A"/>
    <w:rsid w:val="005F24BD"/>
    <w:rsid w:val="005F2789"/>
    <w:rsid w:val="005F2AEE"/>
    <w:rsid w:val="005F2D15"/>
    <w:rsid w:val="005F30A8"/>
    <w:rsid w:val="005F3858"/>
    <w:rsid w:val="005F3DE9"/>
    <w:rsid w:val="005F409B"/>
    <w:rsid w:val="005F417D"/>
    <w:rsid w:val="005F42FE"/>
    <w:rsid w:val="005F4678"/>
    <w:rsid w:val="005F48B0"/>
    <w:rsid w:val="005F4A4A"/>
    <w:rsid w:val="005F4A99"/>
    <w:rsid w:val="005F4DF5"/>
    <w:rsid w:val="005F50AE"/>
    <w:rsid w:val="005F54BC"/>
    <w:rsid w:val="005F5787"/>
    <w:rsid w:val="005F5C7C"/>
    <w:rsid w:val="005F5DDE"/>
    <w:rsid w:val="005F5FBA"/>
    <w:rsid w:val="005F6148"/>
    <w:rsid w:val="005F65F0"/>
    <w:rsid w:val="005F68BF"/>
    <w:rsid w:val="005F717B"/>
    <w:rsid w:val="005F720B"/>
    <w:rsid w:val="005F7642"/>
    <w:rsid w:val="005F7A1E"/>
    <w:rsid w:val="005F7D51"/>
    <w:rsid w:val="006004A8"/>
    <w:rsid w:val="006009D7"/>
    <w:rsid w:val="00600BB2"/>
    <w:rsid w:val="00600F2D"/>
    <w:rsid w:val="00601003"/>
    <w:rsid w:val="00601712"/>
    <w:rsid w:val="00601EBF"/>
    <w:rsid w:val="006020C2"/>
    <w:rsid w:val="00602200"/>
    <w:rsid w:val="00602372"/>
    <w:rsid w:val="006026BC"/>
    <w:rsid w:val="00602E94"/>
    <w:rsid w:val="006032A0"/>
    <w:rsid w:val="00603441"/>
    <w:rsid w:val="00603642"/>
    <w:rsid w:val="00603AC7"/>
    <w:rsid w:val="0060427B"/>
    <w:rsid w:val="006045E3"/>
    <w:rsid w:val="00604948"/>
    <w:rsid w:val="006049F9"/>
    <w:rsid w:val="006050B5"/>
    <w:rsid w:val="006050CE"/>
    <w:rsid w:val="0060544F"/>
    <w:rsid w:val="006054A8"/>
    <w:rsid w:val="006054D4"/>
    <w:rsid w:val="0060563F"/>
    <w:rsid w:val="00605B6E"/>
    <w:rsid w:val="00606085"/>
    <w:rsid w:val="006062FE"/>
    <w:rsid w:val="006064B8"/>
    <w:rsid w:val="006067C3"/>
    <w:rsid w:val="00606814"/>
    <w:rsid w:val="00606ABA"/>
    <w:rsid w:val="00606B12"/>
    <w:rsid w:val="00606D2E"/>
    <w:rsid w:val="006072BC"/>
    <w:rsid w:val="00607306"/>
    <w:rsid w:val="0060750A"/>
    <w:rsid w:val="006079D7"/>
    <w:rsid w:val="00607ABA"/>
    <w:rsid w:val="00607C9F"/>
    <w:rsid w:val="00607E3D"/>
    <w:rsid w:val="00607EA5"/>
    <w:rsid w:val="00607EDA"/>
    <w:rsid w:val="00607F07"/>
    <w:rsid w:val="00610086"/>
    <w:rsid w:val="0061032A"/>
    <w:rsid w:val="00610442"/>
    <w:rsid w:val="00610CC3"/>
    <w:rsid w:val="00610EC1"/>
    <w:rsid w:val="00611B15"/>
    <w:rsid w:val="00611DB6"/>
    <w:rsid w:val="00611E56"/>
    <w:rsid w:val="006125E5"/>
    <w:rsid w:val="006126E1"/>
    <w:rsid w:val="00612A6D"/>
    <w:rsid w:val="006132FF"/>
    <w:rsid w:val="006137C2"/>
    <w:rsid w:val="00613822"/>
    <w:rsid w:val="00613B68"/>
    <w:rsid w:val="00613E71"/>
    <w:rsid w:val="006143D2"/>
    <w:rsid w:val="006144A5"/>
    <w:rsid w:val="00614D0C"/>
    <w:rsid w:val="00614E7D"/>
    <w:rsid w:val="00614EB6"/>
    <w:rsid w:val="00614F77"/>
    <w:rsid w:val="00615613"/>
    <w:rsid w:val="006158E6"/>
    <w:rsid w:val="00615903"/>
    <w:rsid w:val="00615EF4"/>
    <w:rsid w:val="00616195"/>
    <w:rsid w:val="00616474"/>
    <w:rsid w:val="0061647F"/>
    <w:rsid w:val="0061670C"/>
    <w:rsid w:val="00616804"/>
    <w:rsid w:val="00616A0F"/>
    <w:rsid w:val="00616A23"/>
    <w:rsid w:val="00616D68"/>
    <w:rsid w:val="00617336"/>
    <w:rsid w:val="006174A5"/>
    <w:rsid w:val="00617666"/>
    <w:rsid w:val="00617DAF"/>
    <w:rsid w:val="00620C68"/>
    <w:rsid w:val="00620D77"/>
    <w:rsid w:val="00620DDB"/>
    <w:rsid w:val="00620F08"/>
    <w:rsid w:val="00621D96"/>
    <w:rsid w:val="00621E06"/>
    <w:rsid w:val="00622165"/>
    <w:rsid w:val="0062230D"/>
    <w:rsid w:val="00622469"/>
    <w:rsid w:val="00622511"/>
    <w:rsid w:val="00622607"/>
    <w:rsid w:val="006226A4"/>
    <w:rsid w:val="00622B50"/>
    <w:rsid w:val="00622E2D"/>
    <w:rsid w:val="00623023"/>
    <w:rsid w:val="0062310D"/>
    <w:rsid w:val="00623548"/>
    <w:rsid w:val="0062381F"/>
    <w:rsid w:val="00623930"/>
    <w:rsid w:val="00623939"/>
    <w:rsid w:val="00624111"/>
    <w:rsid w:val="006241F3"/>
    <w:rsid w:val="00624375"/>
    <w:rsid w:val="00624946"/>
    <w:rsid w:val="00624CCF"/>
    <w:rsid w:val="00624EBF"/>
    <w:rsid w:val="00624F86"/>
    <w:rsid w:val="00624FDC"/>
    <w:rsid w:val="00625937"/>
    <w:rsid w:val="00625E4E"/>
    <w:rsid w:val="006260EB"/>
    <w:rsid w:val="00626341"/>
    <w:rsid w:val="00626479"/>
    <w:rsid w:val="0062683B"/>
    <w:rsid w:val="006269AF"/>
    <w:rsid w:val="00626CD1"/>
    <w:rsid w:val="00626D8D"/>
    <w:rsid w:val="00627632"/>
    <w:rsid w:val="00627A8A"/>
    <w:rsid w:val="00627D4C"/>
    <w:rsid w:val="00627D6D"/>
    <w:rsid w:val="00627E64"/>
    <w:rsid w:val="00627F1A"/>
    <w:rsid w:val="006301E6"/>
    <w:rsid w:val="0063056A"/>
    <w:rsid w:val="006308F8"/>
    <w:rsid w:val="00630CC9"/>
    <w:rsid w:val="00630EA7"/>
    <w:rsid w:val="00630F38"/>
    <w:rsid w:val="00631019"/>
    <w:rsid w:val="0063104B"/>
    <w:rsid w:val="0063161B"/>
    <w:rsid w:val="006316EE"/>
    <w:rsid w:val="006318CE"/>
    <w:rsid w:val="00631994"/>
    <w:rsid w:val="006321BD"/>
    <w:rsid w:val="00632E5F"/>
    <w:rsid w:val="00633109"/>
    <w:rsid w:val="0063310B"/>
    <w:rsid w:val="0063361E"/>
    <w:rsid w:val="0063378C"/>
    <w:rsid w:val="0063387D"/>
    <w:rsid w:val="006339FE"/>
    <w:rsid w:val="006340A1"/>
    <w:rsid w:val="006343F5"/>
    <w:rsid w:val="006344CE"/>
    <w:rsid w:val="0063468C"/>
    <w:rsid w:val="006349E6"/>
    <w:rsid w:val="00634A25"/>
    <w:rsid w:val="00634A2C"/>
    <w:rsid w:val="00634A42"/>
    <w:rsid w:val="00634B58"/>
    <w:rsid w:val="00634E37"/>
    <w:rsid w:val="00634E60"/>
    <w:rsid w:val="00634FAC"/>
    <w:rsid w:val="00635090"/>
    <w:rsid w:val="00635829"/>
    <w:rsid w:val="006358D9"/>
    <w:rsid w:val="0063630E"/>
    <w:rsid w:val="00636707"/>
    <w:rsid w:val="00636751"/>
    <w:rsid w:val="00636B84"/>
    <w:rsid w:val="00636DFA"/>
    <w:rsid w:val="00637378"/>
    <w:rsid w:val="0063751E"/>
    <w:rsid w:val="00637846"/>
    <w:rsid w:val="00637BA6"/>
    <w:rsid w:val="00637D50"/>
    <w:rsid w:val="00637FCE"/>
    <w:rsid w:val="0064014F"/>
    <w:rsid w:val="00640369"/>
    <w:rsid w:val="006403C3"/>
    <w:rsid w:val="00640500"/>
    <w:rsid w:val="0064099C"/>
    <w:rsid w:val="00640E87"/>
    <w:rsid w:val="00640F24"/>
    <w:rsid w:val="006410EC"/>
    <w:rsid w:val="006411E3"/>
    <w:rsid w:val="006412C3"/>
    <w:rsid w:val="00641ABF"/>
    <w:rsid w:val="00641ACD"/>
    <w:rsid w:val="00641B0F"/>
    <w:rsid w:val="00641E04"/>
    <w:rsid w:val="00642394"/>
    <w:rsid w:val="00643003"/>
    <w:rsid w:val="006431DC"/>
    <w:rsid w:val="00643B0A"/>
    <w:rsid w:val="00643B98"/>
    <w:rsid w:val="00643E58"/>
    <w:rsid w:val="00643F8C"/>
    <w:rsid w:val="006441D6"/>
    <w:rsid w:val="00644208"/>
    <w:rsid w:val="006442C4"/>
    <w:rsid w:val="00644683"/>
    <w:rsid w:val="0064481D"/>
    <w:rsid w:val="00644821"/>
    <w:rsid w:val="0064524F"/>
    <w:rsid w:val="0064557B"/>
    <w:rsid w:val="00645788"/>
    <w:rsid w:val="006458D3"/>
    <w:rsid w:val="00645906"/>
    <w:rsid w:val="00645CAD"/>
    <w:rsid w:val="00645CCB"/>
    <w:rsid w:val="00645D09"/>
    <w:rsid w:val="00645DA2"/>
    <w:rsid w:val="00645DBD"/>
    <w:rsid w:val="00645F51"/>
    <w:rsid w:val="00645FFD"/>
    <w:rsid w:val="00646183"/>
    <w:rsid w:val="006465BF"/>
    <w:rsid w:val="0064692C"/>
    <w:rsid w:val="00646C94"/>
    <w:rsid w:val="00647005"/>
    <w:rsid w:val="0064740E"/>
    <w:rsid w:val="00647528"/>
    <w:rsid w:val="00647C08"/>
    <w:rsid w:val="00647F8A"/>
    <w:rsid w:val="00650160"/>
    <w:rsid w:val="0065029C"/>
    <w:rsid w:val="00650506"/>
    <w:rsid w:val="00650569"/>
    <w:rsid w:val="00650CB3"/>
    <w:rsid w:val="0065110D"/>
    <w:rsid w:val="006511A3"/>
    <w:rsid w:val="00651744"/>
    <w:rsid w:val="0065189B"/>
    <w:rsid w:val="00651C9E"/>
    <w:rsid w:val="006520A9"/>
    <w:rsid w:val="00652147"/>
    <w:rsid w:val="00652658"/>
    <w:rsid w:val="0065338B"/>
    <w:rsid w:val="006535EF"/>
    <w:rsid w:val="0065360F"/>
    <w:rsid w:val="00653751"/>
    <w:rsid w:val="00653D1F"/>
    <w:rsid w:val="0065413C"/>
    <w:rsid w:val="006541F3"/>
    <w:rsid w:val="00654551"/>
    <w:rsid w:val="00654A69"/>
    <w:rsid w:val="00654AF0"/>
    <w:rsid w:val="00654C78"/>
    <w:rsid w:val="00654D9C"/>
    <w:rsid w:val="00654EFC"/>
    <w:rsid w:val="00655379"/>
    <w:rsid w:val="00655C27"/>
    <w:rsid w:val="00655E08"/>
    <w:rsid w:val="00656463"/>
    <w:rsid w:val="00656468"/>
    <w:rsid w:val="00656577"/>
    <w:rsid w:val="00656A23"/>
    <w:rsid w:val="00656C3B"/>
    <w:rsid w:val="00656D7C"/>
    <w:rsid w:val="00656E5D"/>
    <w:rsid w:val="00656E6A"/>
    <w:rsid w:val="00657261"/>
    <w:rsid w:val="00657ED7"/>
    <w:rsid w:val="00660172"/>
    <w:rsid w:val="00660CA7"/>
    <w:rsid w:val="00661138"/>
    <w:rsid w:val="006612A8"/>
    <w:rsid w:val="006617EA"/>
    <w:rsid w:val="00661B90"/>
    <w:rsid w:val="00661C92"/>
    <w:rsid w:val="00661CD7"/>
    <w:rsid w:val="00661F60"/>
    <w:rsid w:val="00662B44"/>
    <w:rsid w:val="00662CA7"/>
    <w:rsid w:val="00662F63"/>
    <w:rsid w:val="00663489"/>
    <w:rsid w:val="00663499"/>
    <w:rsid w:val="0066376B"/>
    <w:rsid w:val="00664062"/>
    <w:rsid w:val="006640BC"/>
    <w:rsid w:val="0066472E"/>
    <w:rsid w:val="006648C5"/>
    <w:rsid w:val="00664B69"/>
    <w:rsid w:val="00664CFF"/>
    <w:rsid w:val="00665085"/>
    <w:rsid w:val="006650A9"/>
    <w:rsid w:val="006657B6"/>
    <w:rsid w:val="00665C22"/>
    <w:rsid w:val="00665E97"/>
    <w:rsid w:val="00666635"/>
    <w:rsid w:val="00666728"/>
    <w:rsid w:val="00666770"/>
    <w:rsid w:val="006667AB"/>
    <w:rsid w:val="0066688B"/>
    <w:rsid w:val="00666A4D"/>
    <w:rsid w:val="00666BFD"/>
    <w:rsid w:val="00667048"/>
    <w:rsid w:val="006671C3"/>
    <w:rsid w:val="0066733D"/>
    <w:rsid w:val="006674A0"/>
    <w:rsid w:val="006678A6"/>
    <w:rsid w:val="00667965"/>
    <w:rsid w:val="006700A1"/>
    <w:rsid w:val="006700EB"/>
    <w:rsid w:val="0067016D"/>
    <w:rsid w:val="00670740"/>
    <w:rsid w:val="00670765"/>
    <w:rsid w:val="00670789"/>
    <w:rsid w:val="00670AD9"/>
    <w:rsid w:val="00670D75"/>
    <w:rsid w:val="006713E2"/>
    <w:rsid w:val="0067151D"/>
    <w:rsid w:val="006715CE"/>
    <w:rsid w:val="006715DA"/>
    <w:rsid w:val="0067166C"/>
    <w:rsid w:val="00671972"/>
    <w:rsid w:val="006719DF"/>
    <w:rsid w:val="00671FC0"/>
    <w:rsid w:val="00672017"/>
    <w:rsid w:val="00672144"/>
    <w:rsid w:val="0067235E"/>
    <w:rsid w:val="006723DA"/>
    <w:rsid w:val="00672933"/>
    <w:rsid w:val="00672B84"/>
    <w:rsid w:val="00672E5B"/>
    <w:rsid w:val="00672F2D"/>
    <w:rsid w:val="006735B5"/>
    <w:rsid w:val="006738BA"/>
    <w:rsid w:val="00673FBA"/>
    <w:rsid w:val="0067401C"/>
    <w:rsid w:val="00674064"/>
    <w:rsid w:val="00674244"/>
    <w:rsid w:val="006745B3"/>
    <w:rsid w:val="0067476B"/>
    <w:rsid w:val="00674820"/>
    <w:rsid w:val="00674E32"/>
    <w:rsid w:val="00675071"/>
    <w:rsid w:val="006751CA"/>
    <w:rsid w:val="00675274"/>
    <w:rsid w:val="00675448"/>
    <w:rsid w:val="006757E9"/>
    <w:rsid w:val="00675BDA"/>
    <w:rsid w:val="00675E15"/>
    <w:rsid w:val="00675FE0"/>
    <w:rsid w:val="00676283"/>
    <w:rsid w:val="00676302"/>
    <w:rsid w:val="00676306"/>
    <w:rsid w:val="0067631B"/>
    <w:rsid w:val="00676345"/>
    <w:rsid w:val="0067638B"/>
    <w:rsid w:val="00676471"/>
    <w:rsid w:val="0067656A"/>
    <w:rsid w:val="006766D1"/>
    <w:rsid w:val="0067684E"/>
    <w:rsid w:val="0067688E"/>
    <w:rsid w:val="006772DD"/>
    <w:rsid w:val="00677540"/>
    <w:rsid w:val="00677928"/>
    <w:rsid w:val="006779F7"/>
    <w:rsid w:val="00677EB1"/>
    <w:rsid w:val="0068002F"/>
    <w:rsid w:val="0068079F"/>
    <w:rsid w:val="00680CC1"/>
    <w:rsid w:val="00680CFD"/>
    <w:rsid w:val="00680D1A"/>
    <w:rsid w:val="00681105"/>
    <w:rsid w:val="00681620"/>
    <w:rsid w:val="00681639"/>
    <w:rsid w:val="00681714"/>
    <w:rsid w:val="00681BF1"/>
    <w:rsid w:val="00681C35"/>
    <w:rsid w:val="00681EBF"/>
    <w:rsid w:val="00682886"/>
    <w:rsid w:val="00682B81"/>
    <w:rsid w:val="00682B89"/>
    <w:rsid w:val="00682C89"/>
    <w:rsid w:val="00682D28"/>
    <w:rsid w:val="00682DBC"/>
    <w:rsid w:val="006830FF"/>
    <w:rsid w:val="006832A5"/>
    <w:rsid w:val="00683CBF"/>
    <w:rsid w:val="00683D62"/>
    <w:rsid w:val="00683EC2"/>
    <w:rsid w:val="006841D2"/>
    <w:rsid w:val="00684410"/>
    <w:rsid w:val="00684789"/>
    <w:rsid w:val="006847BB"/>
    <w:rsid w:val="00684E94"/>
    <w:rsid w:val="00684FB7"/>
    <w:rsid w:val="0068503D"/>
    <w:rsid w:val="006855C7"/>
    <w:rsid w:val="00685600"/>
    <w:rsid w:val="00685AB9"/>
    <w:rsid w:val="00685D44"/>
    <w:rsid w:val="0068637F"/>
    <w:rsid w:val="0068643A"/>
    <w:rsid w:val="006865A8"/>
    <w:rsid w:val="006867C5"/>
    <w:rsid w:val="0068689A"/>
    <w:rsid w:val="006872CF"/>
    <w:rsid w:val="00687419"/>
    <w:rsid w:val="006874AB"/>
    <w:rsid w:val="00687921"/>
    <w:rsid w:val="00687F75"/>
    <w:rsid w:val="00690198"/>
    <w:rsid w:val="006901B5"/>
    <w:rsid w:val="0069020F"/>
    <w:rsid w:val="0069033C"/>
    <w:rsid w:val="00690426"/>
    <w:rsid w:val="006904BF"/>
    <w:rsid w:val="00690DA0"/>
    <w:rsid w:val="00690FEE"/>
    <w:rsid w:val="00691367"/>
    <w:rsid w:val="00691529"/>
    <w:rsid w:val="0069154C"/>
    <w:rsid w:val="006916AE"/>
    <w:rsid w:val="0069184A"/>
    <w:rsid w:val="006918C6"/>
    <w:rsid w:val="00691C5D"/>
    <w:rsid w:val="006921C4"/>
    <w:rsid w:val="006924EF"/>
    <w:rsid w:val="006927F1"/>
    <w:rsid w:val="00692925"/>
    <w:rsid w:val="00692AEE"/>
    <w:rsid w:val="0069316E"/>
    <w:rsid w:val="0069381D"/>
    <w:rsid w:val="00693A8F"/>
    <w:rsid w:val="00693BC8"/>
    <w:rsid w:val="00693F9D"/>
    <w:rsid w:val="00694218"/>
    <w:rsid w:val="006943FC"/>
    <w:rsid w:val="00694551"/>
    <w:rsid w:val="006945D1"/>
    <w:rsid w:val="00694A36"/>
    <w:rsid w:val="00694CD4"/>
    <w:rsid w:val="00694CFA"/>
    <w:rsid w:val="00695E40"/>
    <w:rsid w:val="006961B8"/>
    <w:rsid w:val="00696382"/>
    <w:rsid w:val="00696775"/>
    <w:rsid w:val="006967E5"/>
    <w:rsid w:val="00696A46"/>
    <w:rsid w:val="00696A58"/>
    <w:rsid w:val="00696BB4"/>
    <w:rsid w:val="00696CCF"/>
    <w:rsid w:val="00696D26"/>
    <w:rsid w:val="00696DBA"/>
    <w:rsid w:val="00696FE6"/>
    <w:rsid w:val="006971AB"/>
    <w:rsid w:val="006972C3"/>
    <w:rsid w:val="00697670"/>
    <w:rsid w:val="006976D2"/>
    <w:rsid w:val="006976F9"/>
    <w:rsid w:val="0069799B"/>
    <w:rsid w:val="006979A3"/>
    <w:rsid w:val="006A011E"/>
    <w:rsid w:val="006A04C8"/>
    <w:rsid w:val="006A06B0"/>
    <w:rsid w:val="006A0B47"/>
    <w:rsid w:val="006A142D"/>
    <w:rsid w:val="006A16C5"/>
    <w:rsid w:val="006A1867"/>
    <w:rsid w:val="006A243E"/>
    <w:rsid w:val="006A2535"/>
    <w:rsid w:val="006A28F8"/>
    <w:rsid w:val="006A307C"/>
    <w:rsid w:val="006A31D1"/>
    <w:rsid w:val="006A3201"/>
    <w:rsid w:val="006A39B7"/>
    <w:rsid w:val="006A3C19"/>
    <w:rsid w:val="006A3C50"/>
    <w:rsid w:val="006A3E9E"/>
    <w:rsid w:val="006A41D4"/>
    <w:rsid w:val="006A42D2"/>
    <w:rsid w:val="006A43F5"/>
    <w:rsid w:val="006A4757"/>
    <w:rsid w:val="006A4784"/>
    <w:rsid w:val="006A581E"/>
    <w:rsid w:val="006A5B01"/>
    <w:rsid w:val="006A5B6D"/>
    <w:rsid w:val="006A5F4E"/>
    <w:rsid w:val="006A6255"/>
    <w:rsid w:val="006A63CC"/>
    <w:rsid w:val="006A65AD"/>
    <w:rsid w:val="006A69B2"/>
    <w:rsid w:val="006A6AEB"/>
    <w:rsid w:val="006A75C2"/>
    <w:rsid w:val="006A7B05"/>
    <w:rsid w:val="006A7F7B"/>
    <w:rsid w:val="006A7F7F"/>
    <w:rsid w:val="006B0072"/>
    <w:rsid w:val="006B017F"/>
    <w:rsid w:val="006B094F"/>
    <w:rsid w:val="006B0D0C"/>
    <w:rsid w:val="006B0EF8"/>
    <w:rsid w:val="006B1060"/>
    <w:rsid w:val="006B1235"/>
    <w:rsid w:val="006B13FB"/>
    <w:rsid w:val="006B1A08"/>
    <w:rsid w:val="006B1D0C"/>
    <w:rsid w:val="006B1D93"/>
    <w:rsid w:val="006B221F"/>
    <w:rsid w:val="006B228D"/>
    <w:rsid w:val="006B23E4"/>
    <w:rsid w:val="006B264D"/>
    <w:rsid w:val="006B284F"/>
    <w:rsid w:val="006B2894"/>
    <w:rsid w:val="006B28B4"/>
    <w:rsid w:val="006B2993"/>
    <w:rsid w:val="006B2B96"/>
    <w:rsid w:val="006B2C3B"/>
    <w:rsid w:val="006B32E3"/>
    <w:rsid w:val="006B3547"/>
    <w:rsid w:val="006B4072"/>
    <w:rsid w:val="006B46AE"/>
    <w:rsid w:val="006B46F5"/>
    <w:rsid w:val="006B4E61"/>
    <w:rsid w:val="006B4E87"/>
    <w:rsid w:val="006B5172"/>
    <w:rsid w:val="006B5373"/>
    <w:rsid w:val="006B57AD"/>
    <w:rsid w:val="006B5CFC"/>
    <w:rsid w:val="006B5F0B"/>
    <w:rsid w:val="006B6202"/>
    <w:rsid w:val="006B621B"/>
    <w:rsid w:val="006B645A"/>
    <w:rsid w:val="006B669B"/>
    <w:rsid w:val="006B6704"/>
    <w:rsid w:val="006B68A0"/>
    <w:rsid w:val="006B699D"/>
    <w:rsid w:val="006B6BDB"/>
    <w:rsid w:val="006B6D76"/>
    <w:rsid w:val="006B6EFC"/>
    <w:rsid w:val="006B7076"/>
    <w:rsid w:val="006B7409"/>
    <w:rsid w:val="006B7551"/>
    <w:rsid w:val="006B7664"/>
    <w:rsid w:val="006B78A1"/>
    <w:rsid w:val="006B7BB4"/>
    <w:rsid w:val="006B7BB5"/>
    <w:rsid w:val="006B7C3F"/>
    <w:rsid w:val="006B7CC9"/>
    <w:rsid w:val="006C0232"/>
    <w:rsid w:val="006C026F"/>
    <w:rsid w:val="006C0500"/>
    <w:rsid w:val="006C06F6"/>
    <w:rsid w:val="006C080D"/>
    <w:rsid w:val="006C0D33"/>
    <w:rsid w:val="006C0DBC"/>
    <w:rsid w:val="006C0F61"/>
    <w:rsid w:val="006C1065"/>
    <w:rsid w:val="006C1461"/>
    <w:rsid w:val="006C1787"/>
    <w:rsid w:val="006C19DE"/>
    <w:rsid w:val="006C1BF1"/>
    <w:rsid w:val="006C1C08"/>
    <w:rsid w:val="006C2066"/>
    <w:rsid w:val="006C2530"/>
    <w:rsid w:val="006C2B82"/>
    <w:rsid w:val="006C2BAB"/>
    <w:rsid w:val="006C2CB3"/>
    <w:rsid w:val="006C31BC"/>
    <w:rsid w:val="006C37CA"/>
    <w:rsid w:val="006C3BD7"/>
    <w:rsid w:val="006C3CDA"/>
    <w:rsid w:val="006C3CED"/>
    <w:rsid w:val="006C3E9E"/>
    <w:rsid w:val="006C3ED0"/>
    <w:rsid w:val="006C4B9A"/>
    <w:rsid w:val="006C5142"/>
    <w:rsid w:val="006C51E7"/>
    <w:rsid w:val="006C52BE"/>
    <w:rsid w:val="006C54B1"/>
    <w:rsid w:val="006C5582"/>
    <w:rsid w:val="006C5753"/>
    <w:rsid w:val="006C57C5"/>
    <w:rsid w:val="006C5B8E"/>
    <w:rsid w:val="006C5B96"/>
    <w:rsid w:val="006C61CE"/>
    <w:rsid w:val="006C67E7"/>
    <w:rsid w:val="006C6C79"/>
    <w:rsid w:val="006C6DBC"/>
    <w:rsid w:val="006C6F00"/>
    <w:rsid w:val="006C70D9"/>
    <w:rsid w:val="006C7AFD"/>
    <w:rsid w:val="006C7B64"/>
    <w:rsid w:val="006C7B90"/>
    <w:rsid w:val="006D0006"/>
    <w:rsid w:val="006D00A1"/>
    <w:rsid w:val="006D0164"/>
    <w:rsid w:val="006D068A"/>
    <w:rsid w:val="006D0A96"/>
    <w:rsid w:val="006D0A9D"/>
    <w:rsid w:val="006D0B79"/>
    <w:rsid w:val="006D101A"/>
    <w:rsid w:val="006D1303"/>
    <w:rsid w:val="006D1371"/>
    <w:rsid w:val="006D1571"/>
    <w:rsid w:val="006D1718"/>
    <w:rsid w:val="006D1B84"/>
    <w:rsid w:val="006D1FCC"/>
    <w:rsid w:val="006D2187"/>
    <w:rsid w:val="006D23DF"/>
    <w:rsid w:val="006D290B"/>
    <w:rsid w:val="006D2ABA"/>
    <w:rsid w:val="006D2F1A"/>
    <w:rsid w:val="006D2F2F"/>
    <w:rsid w:val="006D2FCA"/>
    <w:rsid w:val="006D3044"/>
    <w:rsid w:val="006D30C1"/>
    <w:rsid w:val="006D382C"/>
    <w:rsid w:val="006D3A5D"/>
    <w:rsid w:val="006D3B8F"/>
    <w:rsid w:val="006D3F61"/>
    <w:rsid w:val="006D3F7D"/>
    <w:rsid w:val="006D3FED"/>
    <w:rsid w:val="006D41DD"/>
    <w:rsid w:val="006D4536"/>
    <w:rsid w:val="006D46C4"/>
    <w:rsid w:val="006D4908"/>
    <w:rsid w:val="006D4916"/>
    <w:rsid w:val="006D4D88"/>
    <w:rsid w:val="006D5188"/>
    <w:rsid w:val="006D5591"/>
    <w:rsid w:val="006D57CE"/>
    <w:rsid w:val="006D57F3"/>
    <w:rsid w:val="006D5884"/>
    <w:rsid w:val="006D5CBC"/>
    <w:rsid w:val="006D5F68"/>
    <w:rsid w:val="006D6276"/>
    <w:rsid w:val="006D6599"/>
    <w:rsid w:val="006D66BF"/>
    <w:rsid w:val="006D6891"/>
    <w:rsid w:val="006D7299"/>
    <w:rsid w:val="006D73DA"/>
    <w:rsid w:val="006D73DC"/>
    <w:rsid w:val="006D74D0"/>
    <w:rsid w:val="006D75D2"/>
    <w:rsid w:val="006D7945"/>
    <w:rsid w:val="006D7D45"/>
    <w:rsid w:val="006E028C"/>
    <w:rsid w:val="006E04BC"/>
    <w:rsid w:val="006E0AA6"/>
    <w:rsid w:val="006E0C07"/>
    <w:rsid w:val="006E0C96"/>
    <w:rsid w:val="006E0E94"/>
    <w:rsid w:val="006E1878"/>
    <w:rsid w:val="006E1C7F"/>
    <w:rsid w:val="006E1E58"/>
    <w:rsid w:val="006E201B"/>
    <w:rsid w:val="006E22B0"/>
    <w:rsid w:val="006E23E8"/>
    <w:rsid w:val="006E24F4"/>
    <w:rsid w:val="006E2559"/>
    <w:rsid w:val="006E2922"/>
    <w:rsid w:val="006E2DCE"/>
    <w:rsid w:val="006E2EC2"/>
    <w:rsid w:val="006E3141"/>
    <w:rsid w:val="006E31BC"/>
    <w:rsid w:val="006E32E7"/>
    <w:rsid w:val="006E3BF5"/>
    <w:rsid w:val="006E3EAB"/>
    <w:rsid w:val="006E4045"/>
    <w:rsid w:val="006E4479"/>
    <w:rsid w:val="006E464E"/>
    <w:rsid w:val="006E48D5"/>
    <w:rsid w:val="006E495D"/>
    <w:rsid w:val="006E4C56"/>
    <w:rsid w:val="006E4C81"/>
    <w:rsid w:val="006E4D05"/>
    <w:rsid w:val="006E4D28"/>
    <w:rsid w:val="006E4E11"/>
    <w:rsid w:val="006E4E75"/>
    <w:rsid w:val="006E4EA6"/>
    <w:rsid w:val="006E4F56"/>
    <w:rsid w:val="006E4F85"/>
    <w:rsid w:val="006E537C"/>
    <w:rsid w:val="006E5A0B"/>
    <w:rsid w:val="006E5CD2"/>
    <w:rsid w:val="006E5F14"/>
    <w:rsid w:val="006E5FA4"/>
    <w:rsid w:val="006E6060"/>
    <w:rsid w:val="006E618A"/>
    <w:rsid w:val="006E6904"/>
    <w:rsid w:val="006E6A64"/>
    <w:rsid w:val="006E6A6A"/>
    <w:rsid w:val="006E70E3"/>
    <w:rsid w:val="006E732F"/>
    <w:rsid w:val="006E7418"/>
    <w:rsid w:val="006E744A"/>
    <w:rsid w:val="006E7875"/>
    <w:rsid w:val="006E7950"/>
    <w:rsid w:val="006E7A11"/>
    <w:rsid w:val="006E7EDB"/>
    <w:rsid w:val="006F00F7"/>
    <w:rsid w:val="006F01A3"/>
    <w:rsid w:val="006F080C"/>
    <w:rsid w:val="006F0B61"/>
    <w:rsid w:val="006F0CC9"/>
    <w:rsid w:val="006F0E6D"/>
    <w:rsid w:val="006F1559"/>
    <w:rsid w:val="006F166C"/>
    <w:rsid w:val="006F1BE3"/>
    <w:rsid w:val="006F1DCA"/>
    <w:rsid w:val="006F20D0"/>
    <w:rsid w:val="006F2149"/>
    <w:rsid w:val="006F23DB"/>
    <w:rsid w:val="006F247F"/>
    <w:rsid w:val="006F26B9"/>
    <w:rsid w:val="006F295A"/>
    <w:rsid w:val="006F2B54"/>
    <w:rsid w:val="006F2B84"/>
    <w:rsid w:val="006F3252"/>
    <w:rsid w:val="006F3308"/>
    <w:rsid w:val="006F380D"/>
    <w:rsid w:val="006F38B3"/>
    <w:rsid w:val="006F3B06"/>
    <w:rsid w:val="006F3EC5"/>
    <w:rsid w:val="006F3EFF"/>
    <w:rsid w:val="006F48AD"/>
    <w:rsid w:val="006F49D0"/>
    <w:rsid w:val="006F4B5D"/>
    <w:rsid w:val="006F4DFF"/>
    <w:rsid w:val="006F50FB"/>
    <w:rsid w:val="006F5119"/>
    <w:rsid w:val="006F531F"/>
    <w:rsid w:val="006F53C1"/>
    <w:rsid w:val="006F5434"/>
    <w:rsid w:val="006F6225"/>
    <w:rsid w:val="006F630B"/>
    <w:rsid w:val="006F63C4"/>
    <w:rsid w:val="006F63E2"/>
    <w:rsid w:val="006F65A0"/>
    <w:rsid w:val="006F65F1"/>
    <w:rsid w:val="006F6615"/>
    <w:rsid w:val="006F6AD0"/>
    <w:rsid w:val="006F77F4"/>
    <w:rsid w:val="006F7B59"/>
    <w:rsid w:val="006F7B7E"/>
    <w:rsid w:val="00700045"/>
    <w:rsid w:val="00700274"/>
    <w:rsid w:val="00700449"/>
    <w:rsid w:val="0070071C"/>
    <w:rsid w:val="00700F9E"/>
    <w:rsid w:val="00700FD1"/>
    <w:rsid w:val="0070133C"/>
    <w:rsid w:val="00701705"/>
    <w:rsid w:val="007017C8"/>
    <w:rsid w:val="00701D85"/>
    <w:rsid w:val="00701E48"/>
    <w:rsid w:val="00701FD4"/>
    <w:rsid w:val="00702047"/>
    <w:rsid w:val="007021F4"/>
    <w:rsid w:val="00702248"/>
    <w:rsid w:val="00702872"/>
    <w:rsid w:val="007028A5"/>
    <w:rsid w:val="00702C48"/>
    <w:rsid w:val="00702C49"/>
    <w:rsid w:val="00702EBC"/>
    <w:rsid w:val="00702FA5"/>
    <w:rsid w:val="0070317D"/>
    <w:rsid w:val="007032C0"/>
    <w:rsid w:val="007034C9"/>
    <w:rsid w:val="007036F9"/>
    <w:rsid w:val="00703891"/>
    <w:rsid w:val="007039B1"/>
    <w:rsid w:val="007042BD"/>
    <w:rsid w:val="0070443F"/>
    <w:rsid w:val="007045CD"/>
    <w:rsid w:val="00704938"/>
    <w:rsid w:val="00704A3D"/>
    <w:rsid w:val="00704AD6"/>
    <w:rsid w:val="00704DD5"/>
    <w:rsid w:val="007054B1"/>
    <w:rsid w:val="00705576"/>
    <w:rsid w:val="00705676"/>
    <w:rsid w:val="007058B7"/>
    <w:rsid w:val="00705AF8"/>
    <w:rsid w:val="00705ED7"/>
    <w:rsid w:val="007060E4"/>
    <w:rsid w:val="00706159"/>
    <w:rsid w:val="00706977"/>
    <w:rsid w:val="00706984"/>
    <w:rsid w:val="00706B9F"/>
    <w:rsid w:val="00706BA4"/>
    <w:rsid w:val="00706DC6"/>
    <w:rsid w:val="00707171"/>
    <w:rsid w:val="0070733C"/>
    <w:rsid w:val="007073FC"/>
    <w:rsid w:val="007076E9"/>
    <w:rsid w:val="0070779B"/>
    <w:rsid w:val="00707826"/>
    <w:rsid w:val="007079F4"/>
    <w:rsid w:val="0071001A"/>
    <w:rsid w:val="0071026F"/>
    <w:rsid w:val="007102F9"/>
    <w:rsid w:val="0071031C"/>
    <w:rsid w:val="007106E3"/>
    <w:rsid w:val="00710B37"/>
    <w:rsid w:val="00710BBE"/>
    <w:rsid w:val="00710E7F"/>
    <w:rsid w:val="00710EC9"/>
    <w:rsid w:val="007113D2"/>
    <w:rsid w:val="007114E5"/>
    <w:rsid w:val="00711873"/>
    <w:rsid w:val="00711C3A"/>
    <w:rsid w:val="00711DBE"/>
    <w:rsid w:val="00711E97"/>
    <w:rsid w:val="007120E0"/>
    <w:rsid w:val="00712477"/>
    <w:rsid w:val="007129BF"/>
    <w:rsid w:val="00712C17"/>
    <w:rsid w:val="0071304C"/>
    <w:rsid w:val="007132AA"/>
    <w:rsid w:val="007135DF"/>
    <w:rsid w:val="007138FB"/>
    <w:rsid w:val="00713E02"/>
    <w:rsid w:val="007141D1"/>
    <w:rsid w:val="00714406"/>
    <w:rsid w:val="0071505E"/>
    <w:rsid w:val="007152BE"/>
    <w:rsid w:val="00715363"/>
    <w:rsid w:val="007153AC"/>
    <w:rsid w:val="00715507"/>
    <w:rsid w:val="007159BC"/>
    <w:rsid w:val="00715A0F"/>
    <w:rsid w:val="00715B02"/>
    <w:rsid w:val="00715C89"/>
    <w:rsid w:val="00716A95"/>
    <w:rsid w:val="00717406"/>
    <w:rsid w:val="0071764A"/>
    <w:rsid w:val="00717660"/>
    <w:rsid w:val="007176C8"/>
    <w:rsid w:val="007178B6"/>
    <w:rsid w:val="00717B48"/>
    <w:rsid w:val="00717ECA"/>
    <w:rsid w:val="00717F19"/>
    <w:rsid w:val="0072081B"/>
    <w:rsid w:val="00720D0C"/>
    <w:rsid w:val="00720D3A"/>
    <w:rsid w:val="00721188"/>
    <w:rsid w:val="0072147F"/>
    <w:rsid w:val="00721502"/>
    <w:rsid w:val="00721852"/>
    <w:rsid w:val="00721907"/>
    <w:rsid w:val="007221E3"/>
    <w:rsid w:val="00722280"/>
    <w:rsid w:val="007223A2"/>
    <w:rsid w:val="0072250E"/>
    <w:rsid w:val="007225B3"/>
    <w:rsid w:val="007228EB"/>
    <w:rsid w:val="00722A71"/>
    <w:rsid w:val="007231E2"/>
    <w:rsid w:val="00723495"/>
    <w:rsid w:val="007237C4"/>
    <w:rsid w:val="007238EE"/>
    <w:rsid w:val="00723D24"/>
    <w:rsid w:val="00723EB0"/>
    <w:rsid w:val="007258EC"/>
    <w:rsid w:val="007259FF"/>
    <w:rsid w:val="00725AC8"/>
    <w:rsid w:val="00726172"/>
    <w:rsid w:val="007263AC"/>
    <w:rsid w:val="00726457"/>
    <w:rsid w:val="0072660A"/>
    <w:rsid w:val="0072669E"/>
    <w:rsid w:val="007266EA"/>
    <w:rsid w:val="00726CED"/>
    <w:rsid w:val="007271BE"/>
    <w:rsid w:val="00727294"/>
    <w:rsid w:val="00727313"/>
    <w:rsid w:val="007273B6"/>
    <w:rsid w:val="00727466"/>
    <w:rsid w:val="007275CD"/>
    <w:rsid w:val="00727664"/>
    <w:rsid w:val="00727A6E"/>
    <w:rsid w:val="00727A80"/>
    <w:rsid w:val="00730182"/>
    <w:rsid w:val="007301A8"/>
    <w:rsid w:val="007303E5"/>
    <w:rsid w:val="0073053C"/>
    <w:rsid w:val="00730878"/>
    <w:rsid w:val="00730977"/>
    <w:rsid w:val="00730C5C"/>
    <w:rsid w:val="00731F7B"/>
    <w:rsid w:val="0073255D"/>
    <w:rsid w:val="007329E8"/>
    <w:rsid w:val="00732E94"/>
    <w:rsid w:val="00733668"/>
    <w:rsid w:val="00733F1C"/>
    <w:rsid w:val="00734380"/>
    <w:rsid w:val="00734635"/>
    <w:rsid w:val="00734872"/>
    <w:rsid w:val="0073493D"/>
    <w:rsid w:val="00734AFF"/>
    <w:rsid w:val="00734D5F"/>
    <w:rsid w:val="00734DEE"/>
    <w:rsid w:val="00734E57"/>
    <w:rsid w:val="0073547E"/>
    <w:rsid w:val="007357D7"/>
    <w:rsid w:val="00736135"/>
    <w:rsid w:val="00736694"/>
    <w:rsid w:val="00736758"/>
    <w:rsid w:val="0073679A"/>
    <w:rsid w:val="00736D90"/>
    <w:rsid w:val="00737020"/>
    <w:rsid w:val="007375AF"/>
    <w:rsid w:val="0073774D"/>
    <w:rsid w:val="0073779A"/>
    <w:rsid w:val="007378C7"/>
    <w:rsid w:val="00737A62"/>
    <w:rsid w:val="00737CF1"/>
    <w:rsid w:val="00740461"/>
    <w:rsid w:val="00740B03"/>
    <w:rsid w:val="00740C77"/>
    <w:rsid w:val="00740FA4"/>
    <w:rsid w:val="0074130F"/>
    <w:rsid w:val="0074145B"/>
    <w:rsid w:val="007417C7"/>
    <w:rsid w:val="00741960"/>
    <w:rsid w:val="00741A9B"/>
    <w:rsid w:val="00741CBD"/>
    <w:rsid w:val="00741F9A"/>
    <w:rsid w:val="00742555"/>
    <w:rsid w:val="00742558"/>
    <w:rsid w:val="00742BDB"/>
    <w:rsid w:val="00742BE1"/>
    <w:rsid w:val="00742F08"/>
    <w:rsid w:val="00742F32"/>
    <w:rsid w:val="00743473"/>
    <w:rsid w:val="007435CB"/>
    <w:rsid w:val="007437BC"/>
    <w:rsid w:val="007438FC"/>
    <w:rsid w:val="00743C2E"/>
    <w:rsid w:val="00743F4E"/>
    <w:rsid w:val="007441B6"/>
    <w:rsid w:val="007445E8"/>
    <w:rsid w:val="00744C0F"/>
    <w:rsid w:val="00744CEE"/>
    <w:rsid w:val="00744EAF"/>
    <w:rsid w:val="00744FD3"/>
    <w:rsid w:val="0074500A"/>
    <w:rsid w:val="007451E4"/>
    <w:rsid w:val="00745279"/>
    <w:rsid w:val="0074534C"/>
    <w:rsid w:val="00745475"/>
    <w:rsid w:val="0074573B"/>
    <w:rsid w:val="007457ED"/>
    <w:rsid w:val="00745BD5"/>
    <w:rsid w:val="00746331"/>
    <w:rsid w:val="007463DB"/>
    <w:rsid w:val="007468BD"/>
    <w:rsid w:val="0074708F"/>
    <w:rsid w:val="00747298"/>
    <w:rsid w:val="007475A4"/>
    <w:rsid w:val="007476B3"/>
    <w:rsid w:val="00747B11"/>
    <w:rsid w:val="00747F2E"/>
    <w:rsid w:val="007507A8"/>
    <w:rsid w:val="00750C40"/>
    <w:rsid w:val="0075113B"/>
    <w:rsid w:val="00751792"/>
    <w:rsid w:val="007519A8"/>
    <w:rsid w:val="00751B4D"/>
    <w:rsid w:val="00751FD7"/>
    <w:rsid w:val="00752335"/>
    <w:rsid w:val="0075254B"/>
    <w:rsid w:val="00752844"/>
    <w:rsid w:val="00752AF3"/>
    <w:rsid w:val="00752BC5"/>
    <w:rsid w:val="00752F9E"/>
    <w:rsid w:val="00752FA6"/>
    <w:rsid w:val="00753060"/>
    <w:rsid w:val="00753242"/>
    <w:rsid w:val="00753720"/>
    <w:rsid w:val="00753747"/>
    <w:rsid w:val="007538FE"/>
    <w:rsid w:val="00753BA0"/>
    <w:rsid w:val="00753EBA"/>
    <w:rsid w:val="00754221"/>
    <w:rsid w:val="00754892"/>
    <w:rsid w:val="00754AAB"/>
    <w:rsid w:val="00754D2C"/>
    <w:rsid w:val="00754F0F"/>
    <w:rsid w:val="00755609"/>
    <w:rsid w:val="00755898"/>
    <w:rsid w:val="00755D77"/>
    <w:rsid w:val="0075622C"/>
    <w:rsid w:val="00756622"/>
    <w:rsid w:val="007578FA"/>
    <w:rsid w:val="00757A0E"/>
    <w:rsid w:val="00757B5A"/>
    <w:rsid w:val="00757DC8"/>
    <w:rsid w:val="00757E07"/>
    <w:rsid w:val="0076022D"/>
    <w:rsid w:val="0076028F"/>
    <w:rsid w:val="00760C05"/>
    <w:rsid w:val="00760E58"/>
    <w:rsid w:val="00760ED2"/>
    <w:rsid w:val="00761167"/>
    <w:rsid w:val="007613A3"/>
    <w:rsid w:val="007618A4"/>
    <w:rsid w:val="00761A37"/>
    <w:rsid w:val="00761B6A"/>
    <w:rsid w:val="00761CFB"/>
    <w:rsid w:val="00761F68"/>
    <w:rsid w:val="0076207A"/>
    <w:rsid w:val="00762236"/>
    <w:rsid w:val="00762541"/>
    <w:rsid w:val="007626A6"/>
    <w:rsid w:val="00762755"/>
    <w:rsid w:val="00762821"/>
    <w:rsid w:val="0076306A"/>
    <w:rsid w:val="00764013"/>
    <w:rsid w:val="00764684"/>
    <w:rsid w:val="007646FA"/>
    <w:rsid w:val="00764911"/>
    <w:rsid w:val="00764BAB"/>
    <w:rsid w:val="00764C40"/>
    <w:rsid w:val="00764CE0"/>
    <w:rsid w:val="0076527E"/>
    <w:rsid w:val="007652C7"/>
    <w:rsid w:val="00765FF8"/>
    <w:rsid w:val="00766040"/>
    <w:rsid w:val="00766414"/>
    <w:rsid w:val="00766DAC"/>
    <w:rsid w:val="00766FE6"/>
    <w:rsid w:val="00767282"/>
    <w:rsid w:val="007674AE"/>
    <w:rsid w:val="00767810"/>
    <w:rsid w:val="00767A2A"/>
    <w:rsid w:val="00767DDB"/>
    <w:rsid w:val="00770106"/>
    <w:rsid w:val="00770178"/>
    <w:rsid w:val="0077045B"/>
    <w:rsid w:val="00770669"/>
    <w:rsid w:val="00770AAC"/>
    <w:rsid w:val="00770CE1"/>
    <w:rsid w:val="00770DA8"/>
    <w:rsid w:val="00770EB0"/>
    <w:rsid w:val="00771455"/>
    <w:rsid w:val="00771792"/>
    <w:rsid w:val="00772070"/>
    <w:rsid w:val="0077289D"/>
    <w:rsid w:val="00772A80"/>
    <w:rsid w:val="00772C33"/>
    <w:rsid w:val="00772E28"/>
    <w:rsid w:val="00773122"/>
    <w:rsid w:val="007732F2"/>
    <w:rsid w:val="007733C7"/>
    <w:rsid w:val="0077347B"/>
    <w:rsid w:val="00773769"/>
    <w:rsid w:val="00773794"/>
    <w:rsid w:val="007737DA"/>
    <w:rsid w:val="0077399E"/>
    <w:rsid w:val="00773CD0"/>
    <w:rsid w:val="00774033"/>
    <w:rsid w:val="007740A5"/>
    <w:rsid w:val="007740BE"/>
    <w:rsid w:val="007741B7"/>
    <w:rsid w:val="00774312"/>
    <w:rsid w:val="00774427"/>
    <w:rsid w:val="0077442A"/>
    <w:rsid w:val="0077449D"/>
    <w:rsid w:val="00774688"/>
    <w:rsid w:val="00774745"/>
    <w:rsid w:val="0077491E"/>
    <w:rsid w:val="00774A00"/>
    <w:rsid w:val="007755B1"/>
    <w:rsid w:val="0077591C"/>
    <w:rsid w:val="00775B36"/>
    <w:rsid w:val="00775CC6"/>
    <w:rsid w:val="00775E3A"/>
    <w:rsid w:val="00775F10"/>
    <w:rsid w:val="00775F7F"/>
    <w:rsid w:val="00775FE2"/>
    <w:rsid w:val="007765E0"/>
    <w:rsid w:val="00776678"/>
    <w:rsid w:val="00776BC3"/>
    <w:rsid w:val="00776BF4"/>
    <w:rsid w:val="00776EA5"/>
    <w:rsid w:val="00777019"/>
    <w:rsid w:val="00777078"/>
    <w:rsid w:val="007770F0"/>
    <w:rsid w:val="007774D1"/>
    <w:rsid w:val="007777C8"/>
    <w:rsid w:val="00777A7D"/>
    <w:rsid w:val="00777D19"/>
    <w:rsid w:val="00777D65"/>
    <w:rsid w:val="00777EF5"/>
    <w:rsid w:val="0078000D"/>
    <w:rsid w:val="0078005C"/>
    <w:rsid w:val="007801B2"/>
    <w:rsid w:val="0078048B"/>
    <w:rsid w:val="007805AE"/>
    <w:rsid w:val="00780DDB"/>
    <w:rsid w:val="00780EE0"/>
    <w:rsid w:val="00780F67"/>
    <w:rsid w:val="00781788"/>
    <w:rsid w:val="00781801"/>
    <w:rsid w:val="00781A00"/>
    <w:rsid w:val="00781D79"/>
    <w:rsid w:val="00782111"/>
    <w:rsid w:val="00782429"/>
    <w:rsid w:val="007829E9"/>
    <w:rsid w:val="00782BB3"/>
    <w:rsid w:val="00783195"/>
    <w:rsid w:val="0078350B"/>
    <w:rsid w:val="007835F9"/>
    <w:rsid w:val="007836D9"/>
    <w:rsid w:val="00783769"/>
    <w:rsid w:val="00783FAE"/>
    <w:rsid w:val="007840B5"/>
    <w:rsid w:val="007847EE"/>
    <w:rsid w:val="00784868"/>
    <w:rsid w:val="00784944"/>
    <w:rsid w:val="00784B4D"/>
    <w:rsid w:val="00784C96"/>
    <w:rsid w:val="00785147"/>
    <w:rsid w:val="007851FB"/>
    <w:rsid w:val="007852D2"/>
    <w:rsid w:val="007855C8"/>
    <w:rsid w:val="00785918"/>
    <w:rsid w:val="00785C74"/>
    <w:rsid w:val="00785E5C"/>
    <w:rsid w:val="00786039"/>
    <w:rsid w:val="00786526"/>
    <w:rsid w:val="00786E54"/>
    <w:rsid w:val="00786EA4"/>
    <w:rsid w:val="00786EEA"/>
    <w:rsid w:val="00787295"/>
    <w:rsid w:val="007877C8"/>
    <w:rsid w:val="0078788D"/>
    <w:rsid w:val="00787AB3"/>
    <w:rsid w:val="00787EC1"/>
    <w:rsid w:val="007900FF"/>
    <w:rsid w:val="007902B0"/>
    <w:rsid w:val="007907AC"/>
    <w:rsid w:val="00790C97"/>
    <w:rsid w:val="00790F91"/>
    <w:rsid w:val="00791417"/>
    <w:rsid w:val="00791B6E"/>
    <w:rsid w:val="0079268D"/>
    <w:rsid w:val="0079279E"/>
    <w:rsid w:val="007927BE"/>
    <w:rsid w:val="0079293D"/>
    <w:rsid w:val="00792A8D"/>
    <w:rsid w:val="00792B9B"/>
    <w:rsid w:val="00792EA4"/>
    <w:rsid w:val="00793341"/>
    <w:rsid w:val="00793A05"/>
    <w:rsid w:val="00793A98"/>
    <w:rsid w:val="0079404D"/>
    <w:rsid w:val="00794084"/>
    <w:rsid w:val="007940DE"/>
    <w:rsid w:val="007946A5"/>
    <w:rsid w:val="00794E2C"/>
    <w:rsid w:val="0079528B"/>
    <w:rsid w:val="007957EC"/>
    <w:rsid w:val="007958ED"/>
    <w:rsid w:val="00795925"/>
    <w:rsid w:val="00795DDF"/>
    <w:rsid w:val="00795E32"/>
    <w:rsid w:val="00795F02"/>
    <w:rsid w:val="00795F3D"/>
    <w:rsid w:val="0079693D"/>
    <w:rsid w:val="00797354"/>
    <w:rsid w:val="00797728"/>
    <w:rsid w:val="007979BA"/>
    <w:rsid w:val="00797C0E"/>
    <w:rsid w:val="007A0192"/>
    <w:rsid w:val="007A0425"/>
    <w:rsid w:val="007A0A56"/>
    <w:rsid w:val="007A0A5D"/>
    <w:rsid w:val="007A0A81"/>
    <w:rsid w:val="007A0B21"/>
    <w:rsid w:val="007A0CBD"/>
    <w:rsid w:val="007A0FDA"/>
    <w:rsid w:val="007A11E7"/>
    <w:rsid w:val="007A16E7"/>
    <w:rsid w:val="007A185D"/>
    <w:rsid w:val="007A1B8E"/>
    <w:rsid w:val="007A1BBD"/>
    <w:rsid w:val="007A23C1"/>
    <w:rsid w:val="007A2ED2"/>
    <w:rsid w:val="007A31E1"/>
    <w:rsid w:val="007A361E"/>
    <w:rsid w:val="007A3889"/>
    <w:rsid w:val="007A3B40"/>
    <w:rsid w:val="007A3D64"/>
    <w:rsid w:val="007A3E54"/>
    <w:rsid w:val="007A3F8C"/>
    <w:rsid w:val="007A400B"/>
    <w:rsid w:val="007A4092"/>
    <w:rsid w:val="007A4A6A"/>
    <w:rsid w:val="007A4B55"/>
    <w:rsid w:val="007A4D4B"/>
    <w:rsid w:val="007A4D5F"/>
    <w:rsid w:val="007A50AD"/>
    <w:rsid w:val="007A5252"/>
    <w:rsid w:val="007A57C6"/>
    <w:rsid w:val="007A6439"/>
    <w:rsid w:val="007A649C"/>
    <w:rsid w:val="007A68A1"/>
    <w:rsid w:val="007A69D9"/>
    <w:rsid w:val="007A6B62"/>
    <w:rsid w:val="007A6DEB"/>
    <w:rsid w:val="007A70A9"/>
    <w:rsid w:val="007A71BB"/>
    <w:rsid w:val="007A751F"/>
    <w:rsid w:val="007A7885"/>
    <w:rsid w:val="007A7FCE"/>
    <w:rsid w:val="007B0225"/>
    <w:rsid w:val="007B039C"/>
    <w:rsid w:val="007B04E6"/>
    <w:rsid w:val="007B0AA9"/>
    <w:rsid w:val="007B0CA2"/>
    <w:rsid w:val="007B0E38"/>
    <w:rsid w:val="007B0E42"/>
    <w:rsid w:val="007B13EB"/>
    <w:rsid w:val="007B173A"/>
    <w:rsid w:val="007B1A15"/>
    <w:rsid w:val="007B20FA"/>
    <w:rsid w:val="007B21D7"/>
    <w:rsid w:val="007B23AB"/>
    <w:rsid w:val="007B23BF"/>
    <w:rsid w:val="007B2405"/>
    <w:rsid w:val="007B25F8"/>
    <w:rsid w:val="007B26C7"/>
    <w:rsid w:val="007B26EF"/>
    <w:rsid w:val="007B270E"/>
    <w:rsid w:val="007B272A"/>
    <w:rsid w:val="007B2A20"/>
    <w:rsid w:val="007B2C39"/>
    <w:rsid w:val="007B2F7E"/>
    <w:rsid w:val="007B30B3"/>
    <w:rsid w:val="007B3304"/>
    <w:rsid w:val="007B3A32"/>
    <w:rsid w:val="007B3CD9"/>
    <w:rsid w:val="007B424B"/>
    <w:rsid w:val="007B46B8"/>
    <w:rsid w:val="007B48B3"/>
    <w:rsid w:val="007B4F9A"/>
    <w:rsid w:val="007B5283"/>
    <w:rsid w:val="007B573B"/>
    <w:rsid w:val="007B5812"/>
    <w:rsid w:val="007B5F0F"/>
    <w:rsid w:val="007B5FCF"/>
    <w:rsid w:val="007B6173"/>
    <w:rsid w:val="007B6405"/>
    <w:rsid w:val="007B6409"/>
    <w:rsid w:val="007B6524"/>
    <w:rsid w:val="007B65DB"/>
    <w:rsid w:val="007B695D"/>
    <w:rsid w:val="007B6FAE"/>
    <w:rsid w:val="007B72D7"/>
    <w:rsid w:val="007B737E"/>
    <w:rsid w:val="007B78C7"/>
    <w:rsid w:val="007C00D2"/>
    <w:rsid w:val="007C0161"/>
    <w:rsid w:val="007C035D"/>
    <w:rsid w:val="007C05FD"/>
    <w:rsid w:val="007C06A4"/>
    <w:rsid w:val="007C09DF"/>
    <w:rsid w:val="007C0CBE"/>
    <w:rsid w:val="007C0F39"/>
    <w:rsid w:val="007C1A47"/>
    <w:rsid w:val="007C1B18"/>
    <w:rsid w:val="007C1E01"/>
    <w:rsid w:val="007C25F1"/>
    <w:rsid w:val="007C2639"/>
    <w:rsid w:val="007C2675"/>
    <w:rsid w:val="007C2A38"/>
    <w:rsid w:val="007C2D67"/>
    <w:rsid w:val="007C3198"/>
    <w:rsid w:val="007C3328"/>
    <w:rsid w:val="007C3377"/>
    <w:rsid w:val="007C3653"/>
    <w:rsid w:val="007C372B"/>
    <w:rsid w:val="007C3772"/>
    <w:rsid w:val="007C38FF"/>
    <w:rsid w:val="007C3C93"/>
    <w:rsid w:val="007C3E38"/>
    <w:rsid w:val="007C42CA"/>
    <w:rsid w:val="007C4774"/>
    <w:rsid w:val="007C49D9"/>
    <w:rsid w:val="007C51B2"/>
    <w:rsid w:val="007C54E3"/>
    <w:rsid w:val="007C577B"/>
    <w:rsid w:val="007C5A18"/>
    <w:rsid w:val="007C5A4C"/>
    <w:rsid w:val="007C5C11"/>
    <w:rsid w:val="007C6439"/>
    <w:rsid w:val="007C668F"/>
    <w:rsid w:val="007C66AD"/>
    <w:rsid w:val="007C6DE6"/>
    <w:rsid w:val="007C6F03"/>
    <w:rsid w:val="007C74A7"/>
    <w:rsid w:val="007C7968"/>
    <w:rsid w:val="007C79CC"/>
    <w:rsid w:val="007C7CA4"/>
    <w:rsid w:val="007C7F43"/>
    <w:rsid w:val="007D069C"/>
    <w:rsid w:val="007D08E6"/>
    <w:rsid w:val="007D14CC"/>
    <w:rsid w:val="007D1522"/>
    <w:rsid w:val="007D1D81"/>
    <w:rsid w:val="007D1E4E"/>
    <w:rsid w:val="007D20BA"/>
    <w:rsid w:val="007D21CB"/>
    <w:rsid w:val="007D22B5"/>
    <w:rsid w:val="007D2344"/>
    <w:rsid w:val="007D2B41"/>
    <w:rsid w:val="007D2EE4"/>
    <w:rsid w:val="007D31CC"/>
    <w:rsid w:val="007D3584"/>
    <w:rsid w:val="007D3857"/>
    <w:rsid w:val="007D3B88"/>
    <w:rsid w:val="007D3D56"/>
    <w:rsid w:val="007D3EB6"/>
    <w:rsid w:val="007D415F"/>
    <w:rsid w:val="007D4791"/>
    <w:rsid w:val="007D49FF"/>
    <w:rsid w:val="007D4B41"/>
    <w:rsid w:val="007D4CE5"/>
    <w:rsid w:val="007D4FD6"/>
    <w:rsid w:val="007D634B"/>
    <w:rsid w:val="007D636D"/>
    <w:rsid w:val="007D660E"/>
    <w:rsid w:val="007D6AEE"/>
    <w:rsid w:val="007D6AF4"/>
    <w:rsid w:val="007D6CDB"/>
    <w:rsid w:val="007D71D0"/>
    <w:rsid w:val="007D739E"/>
    <w:rsid w:val="007D74B8"/>
    <w:rsid w:val="007D75AE"/>
    <w:rsid w:val="007E07A3"/>
    <w:rsid w:val="007E0B72"/>
    <w:rsid w:val="007E0B78"/>
    <w:rsid w:val="007E0CAA"/>
    <w:rsid w:val="007E1558"/>
    <w:rsid w:val="007E155D"/>
    <w:rsid w:val="007E1820"/>
    <w:rsid w:val="007E1850"/>
    <w:rsid w:val="007E186E"/>
    <w:rsid w:val="007E18D5"/>
    <w:rsid w:val="007E1DFA"/>
    <w:rsid w:val="007E201D"/>
    <w:rsid w:val="007E237A"/>
    <w:rsid w:val="007E25F5"/>
    <w:rsid w:val="007E2B18"/>
    <w:rsid w:val="007E2C48"/>
    <w:rsid w:val="007E302C"/>
    <w:rsid w:val="007E315A"/>
    <w:rsid w:val="007E369A"/>
    <w:rsid w:val="007E36C3"/>
    <w:rsid w:val="007E37F7"/>
    <w:rsid w:val="007E39BF"/>
    <w:rsid w:val="007E3D29"/>
    <w:rsid w:val="007E3DC3"/>
    <w:rsid w:val="007E4053"/>
    <w:rsid w:val="007E46BC"/>
    <w:rsid w:val="007E4836"/>
    <w:rsid w:val="007E518B"/>
    <w:rsid w:val="007E51CE"/>
    <w:rsid w:val="007E52BB"/>
    <w:rsid w:val="007E52BE"/>
    <w:rsid w:val="007E534F"/>
    <w:rsid w:val="007E5510"/>
    <w:rsid w:val="007E5844"/>
    <w:rsid w:val="007E5D22"/>
    <w:rsid w:val="007E5DC4"/>
    <w:rsid w:val="007E6078"/>
    <w:rsid w:val="007E6094"/>
    <w:rsid w:val="007E609D"/>
    <w:rsid w:val="007E64AA"/>
    <w:rsid w:val="007E66D5"/>
    <w:rsid w:val="007E67B3"/>
    <w:rsid w:val="007E67F9"/>
    <w:rsid w:val="007E68C7"/>
    <w:rsid w:val="007E6A66"/>
    <w:rsid w:val="007E6C0C"/>
    <w:rsid w:val="007E6D09"/>
    <w:rsid w:val="007E6F67"/>
    <w:rsid w:val="007E6FCF"/>
    <w:rsid w:val="007E6FDA"/>
    <w:rsid w:val="007E7105"/>
    <w:rsid w:val="007E7551"/>
    <w:rsid w:val="007E7786"/>
    <w:rsid w:val="007E78B3"/>
    <w:rsid w:val="007E7EEB"/>
    <w:rsid w:val="007F08FB"/>
    <w:rsid w:val="007F09AF"/>
    <w:rsid w:val="007F0E78"/>
    <w:rsid w:val="007F1301"/>
    <w:rsid w:val="007F140D"/>
    <w:rsid w:val="007F14A4"/>
    <w:rsid w:val="007F1587"/>
    <w:rsid w:val="007F1699"/>
    <w:rsid w:val="007F20B5"/>
    <w:rsid w:val="007F22ED"/>
    <w:rsid w:val="007F26AF"/>
    <w:rsid w:val="007F2C63"/>
    <w:rsid w:val="007F2C69"/>
    <w:rsid w:val="007F2CE1"/>
    <w:rsid w:val="007F2EE0"/>
    <w:rsid w:val="007F3177"/>
    <w:rsid w:val="007F335C"/>
    <w:rsid w:val="007F3960"/>
    <w:rsid w:val="007F39FA"/>
    <w:rsid w:val="007F3B11"/>
    <w:rsid w:val="007F44DA"/>
    <w:rsid w:val="007F49E0"/>
    <w:rsid w:val="007F4C92"/>
    <w:rsid w:val="007F5001"/>
    <w:rsid w:val="007F5102"/>
    <w:rsid w:val="007F51D5"/>
    <w:rsid w:val="007F5825"/>
    <w:rsid w:val="007F5AD5"/>
    <w:rsid w:val="007F5F3F"/>
    <w:rsid w:val="007F5F9B"/>
    <w:rsid w:val="007F6071"/>
    <w:rsid w:val="007F662D"/>
    <w:rsid w:val="007F72A3"/>
    <w:rsid w:val="007F74C7"/>
    <w:rsid w:val="007F7504"/>
    <w:rsid w:val="007F7760"/>
    <w:rsid w:val="007F787C"/>
    <w:rsid w:val="007F79EF"/>
    <w:rsid w:val="007F7E8B"/>
    <w:rsid w:val="00800079"/>
    <w:rsid w:val="00800759"/>
    <w:rsid w:val="008007DC"/>
    <w:rsid w:val="008009E5"/>
    <w:rsid w:val="00800A6E"/>
    <w:rsid w:val="00800BD6"/>
    <w:rsid w:val="00800C45"/>
    <w:rsid w:val="00800C70"/>
    <w:rsid w:val="00800E2A"/>
    <w:rsid w:val="00800FFC"/>
    <w:rsid w:val="00801129"/>
    <w:rsid w:val="0080122B"/>
    <w:rsid w:val="0080134B"/>
    <w:rsid w:val="0080142D"/>
    <w:rsid w:val="00801A93"/>
    <w:rsid w:val="00801E71"/>
    <w:rsid w:val="00802191"/>
    <w:rsid w:val="008024AE"/>
    <w:rsid w:val="008025CB"/>
    <w:rsid w:val="00802E7D"/>
    <w:rsid w:val="00802E8A"/>
    <w:rsid w:val="00803660"/>
    <w:rsid w:val="008037F0"/>
    <w:rsid w:val="00803AEA"/>
    <w:rsid w:val="00803B1A"/>
    <w:rsid w:val="00803B5B"/>
    <w:rsid w:val="00803FED"/>
    <w:rsid w:val="0080467C"/>
    <w:rsid w:val="008048D3"/>
    <w:rsid w:val="00804963"/>
    <w:rsid w:val="00804C9C"/>
    <w:rsid w:val="00804D36"/>
    <w:rsid w:val="008057B9"/>
    <w:rsid w:val="00805954"/>
    <w:rsid w:val="00805BF8"/>
    <w:rsid w:val="00805F1E"/>
    <w:rsid w:val="0080625A"/>
    <w:rsid w:val="0080646A"/>
    <w:rsid w:val="00806800"/>
    <w:rsid w:val="00807057"/>
    <w:rsid w:val="0080719D"/>
    <w:rsid w:val="008071D4"/>
    <w:rsid w:val="00807434"/>
    <w:rsid w:val="00807960"/>
    <w:rsid w:val="00807A2A"/>
    <w:rsid w:val="00807D95"/>
    <w:rsid w:val="00807E35"/>
    <w:rsid w:val="0081021E"/>
    <w:rsid w:val="00810449"/>
    <w:rsid w:val="00810544"/>
    <w:rsid w:val="00811018"/>
    <w:rsid w:val="008112C4"/>
    <w:rsid w:val="00811596"/>
    <w:rsid w:val="00811873"/>
    <w:rsid w:val="00811922"/>
    <w:rsid w:val="00811D28"/>
    <w:rsid w:val="0081216A"/>
    <w:rsid w:val="008122CF"/>
    <w:rsid w:val="00812874"/>
    <w:rsid w:val="00812A39"/>
    <w:rsid w:val="00812F11"/>
    <w:rsid w:val="0081391B"/>
    <w:rsid w:val="00813DAC"/>
    <w:rsid w:val="00813E14"/>
    <w:rsid w:val="00814293"/>
    <w:rsid w:val="008148F5"/>
    <w:rsid w:val="00814E78"/>
    <w:rsid w:val="0081515E"/>
    <w:rsid w:val="0081536C"/>
    <w:rsid w:val="008158B1"/>
    <w:rsid w:val="00815B46"/>
    <w:rsid w:val="00815D2F"/>
    <w:rsid w:val="00815F2D"/>
    <w:rsid w:val="00816259"/>
    <w:rsid w:val="00816612"/>
    <w:rsid w:val="00816749"/>
    <w:rsid w:val="00816809"/>
    <w:rsid w:val="00816F76"/>
    <w:rsid w:val="008170C7"/>
    <w:rsid w:val="0081716D"/>
    <w:rsid w:val="00817D8A"/>
    <w:rsid w:val="00817E41"/>
    <w:rsid w:val="008207E1"/>
    <w:rsid w:val="00820987"/>
    <w:rsid w:val="008211C2"/>
    <w:rsid w:val="0082130D"/>
    <w:rsid w:val="008214B5"/>
    <w:rsid w:val="00821591"/>
    <w:rsid w:val="008215E3"/>
    <w:rsid w:val="00821732"/>
    <w:rsid w:val="00821EFB"/>
    <w:rsid w:val="00822000"/>
    <w:rsid w:val="008221A0"/>
    <w:rsid w:val="008229DA"/>
    <w:rsid w:val="0082301B"/>
    <w:rsid w:val="008232AF"/>
    <w:rsid w:val="00823406"/>
    <w:rsid w:val="008238BB"/>
    <w:rsid w:val="00823BF2"/>
    <w:rsid w:val="00824E11"/>
    <w:rsid w:val="00824E3E"/>
    <w:rsid w:val="008254F6"/>
    <w:rsid w:val="008255E5"/>
    <w:rsid w:val="0082587A"/>
    <w:rsid w:val="008260B5"/>
    <w:rsid w:val="008266A4"/>
    <w:rsid w:val="00826D6B"/>
    <w:rsid w:val="008272A6"/>
    <w:rsid w:val="008272B8"/>
    <w:rsid w:val="008272CA"/>
    <w:rsid w:val="00827363"/>
    <w:rsid w:val="008300A1"/>
    <w:rsid w:val="0083010D"/>
    <w:rsid w:val="00830555"/>
    <w:rsid w:val="00830573"/>
    <w:rsid w:val="0083067D"/>
    <w:rsid w:val="00830AA1"/>
    <w:rsid w:val="00830F8A"/>
    <w:rsid w:val="00831163"/>
    <w:rsid w:val="008311AD"/>
    <w:rsid w:val="008312CB"/>
    <w:rsid w:val="00831316"/>
    <w:rsid w:val="00831449"/>
    <w:rsid w:val="008315C3"/>
    <w:rsid w:val="00831E01"/>
    <w:rsid w:val="0083278E"/>
    <w:rsid w:val="008327CF"/>
    <w:rsid w:val="0083307F"/>
    <w:rsid w:val="008331BB"/>
    <w:rsid w:val="008331CD"/>
    <w:rsid w:val="00833467"/>
    <w:rsid w:val="00833C3B"/>
    <w:rsid w:val="0083405D"/>
    <w:rsid w:val="008343BF"/>
    <w:rsid w:val="00834438"/>
    <w:rsid w:val="00834693"/>
    <w:rsid w:val="008347EC"/>
    <w:rsid w:val="008348A2"/>
    <w:rsid w:val="00834F77"/>
    <w:rsid w:val="0083506C"/>
    <w:rsid w:val="008358D3"/>
    <w:rsid w:val="008359F0"/>
    <w:rsid w:val="00835B12"/>
    <w:rsid w:val="00836515"/>
    <w:rsid w:val="008401B0"/>
    <w:rsid w:val="00840601"/>
    <w:rsid w:val="00840972"/>
    <w:rsid w:val="00840B93"/>
    <w:rsid w:val="00840C40"/>
    <w:rsid w:val="00840C8D"/>
    <w:rsid w:val="00840F18"/>
    <w:rsid w:val="008414BD"/>
    <w:rsid w:val="00841735"/>
    <w:rsid w:val="008418FE"/>
    <w:rsid w:val="00841B89"/>
    <w:rsid w:val="00841C32"/>
    <w:rsid w:val="00842042"/>
    <w:rsid w:val="0084237E"/>
    <w:rsid w:val="00842A33"/>
    <w:rsid w:val="00842D8C"/>
    <w:rsid w:val="0084337E"/>
    <w:rsid w:val="0084366A"/>
    <w:rsid w:val="00843670"/>
    <w:rsid w:val="0084399B"/>
    <w:rsid w:val="00843AAF"/>
    <w:rsid w:val="00843C36"/>
    <w:rsid w:val="00843F02"/>
    <w:rsid w:val="00844272"/>
    <w:rsid w:val="00844498"/>
    <w:rsid w:val="0084466C"/>
    <w:rsid w:val="00844D42"/>
    <w:rsid w:val="00844DD8"/>
    <w:rsid w:val="0084541D"/>
    <w:rsid w:val="00845540"/>
    <w:rsid w:val="00845995"/>
    <w:rsid w:val="00845999"/>
    <w:rsid w:val="00846414"/>
    <w:rsid w:val="00846697"/>
    <w:rsid w:val="008467B2"/>
    <w:rsid w:val="0084689B"/>
    <w:rsid w:val="00846D80"/>
    <w:rsid w:val="00846E28"/>
    <w:rsid w:val="00846EBB"/>
    <w:rsid w:val="008472DB"/>
    <w:rsid w:val="008476A0"/>
    <w:rsid w:val="008476B3"/>
    <w:rsid w:val="00847B9A"/>
    <w:rsid w:val="00847C7E"/>
    <w:rsid w:val="008500A3"/>
    <w:rsid w:val="0085010E"/>
    <w:rsid w:val="008501AC"/>
    <w:rsid w:val="008507C9"/>
    <w:rsid w:val="00850C85"/>
    <w:rsid w:val="008518D8"/>
    <w:rsid w:val="0085190D"/>
    <w:rsid w:val="00851952"/>
    <w:rsid w:val="00852288"/>
    <w:rsid w:val="008523CC"/>
    <w:rsid w:val="008523FD"/>
    <w:rsid w:val="0085291F"/>
    <w:rsid w:val="00852CC8"/>
    <w:rsid w:val="00852FF8"/>
    <w:rsid w:val="0085321E"/>
    <w:rsid w:val="008532E4"/>
    <w:rsid w:val="00853B52"/>
    <w:rsid w:val="00853CD3"/>
    <w:rsid w:val="00853D8D"/>
    <w:rsid w:val="00853DEA"/>
    <w:rsid w:val="00853E16"/>
    <w:rsid w:val="00854453"/>
    <w:rsid w:val="008544CC"/>
    <w:rsid w:val="008544CE"/>
    <w:rsid w:val="008546C3"/>
    <w:rsid w:val="0085485E"/>
    <w:rsid w:val="00854E28"/>
    <w:rsid w:val="0085554F"/>
    <w:rsid w:val="00855571"/>
    <w:rsid w:val="00855611"/>
    <w:rsid w:val="00855632"/>
    <w:rsid w:val="008558E4"/>
    <w:rsid w:val="00855A02"/>
    <w:rsid w:val="00855C05"/>
    <w:rsid w:val="00855F5C"/>
    <w:rsid w:val="00855FF9"/>
    <w:rsid w:val="0085603D"/>
    <w:rsid w:val="0085634A"/>
    <w:rsid w:val="00856517"/>
    <w:rsid w:val="00856948"/>
    <w:rsid w:val="00856C52"/>
    <w:rsid w:val="00856E31"/>
    <w:rsid w:val="008571D9"/>
    <w:rsid w:val="00857577"/>
    <w:rsid w:val="00857B3D"/>
    <w:rsid w:val="00857D97"/>
    <w:rsid w:val="00857DE8"/>
    <w:rsid w:val="00857E29"/>
    <w:rsid w:val="00860091"/>
    <w:rsid w:val="008600C0"/>
    <w:rsid w:val="00860274"/>
    <w:rsid w:val="00860370"/>
    <w:rsid w:val="008604AC"/>
    <w:rsid w:val="00860DB9"/>
    <w:rsid w:val="00860FED"/>
    <w:rsid w:val="008612E3"/>
    <w:rsid w:val="00861C6B"/>
    <w:rsid w:val="00861CA5"/>
    <w:rsid w:val="0086220F"/>
    <w:rsid w:val="008622C5"/>
    <w:rsid w:val="008626DF"/>
    <w:rsid w:val="00862F76"/>
    <w:rsid w:val="00863D54"/>
    <w:rsid w:val="00863F91"/>
    <w:rsid w:val="008647BA"/>
    <w:rsid w:val="008647FB"/>
    <w:rsid w:val="00865153"/>
    <w:rsid w:val="00865197"/>
    <w:rsid w:val="00865A11"/>
    <w:rsid w:val="00865A42"/>
    <w:rsid w:val="00865E95"/>
    <w:rsid w:val="008666A1"/>
    <w:rsid w:val="00866B82"/>
    <w:rsid w:val="00866F3E"/>
    <w:rsid w:val="008671CB"/>
    <w:rsid w:val="00867262"/>
    <w:rsid w:val="0086739B"/>
    <w:rsid w:val="00867500"/>
    <w:rsid w:val="00867674"/>
    <w:rsid w:val="00867FAA"/>
    <w:rsid w:val="008702FF"/>
    <w:rsid w:val="008708E3"/>
    <w:rsid w:val="008709A1"/>
    <w:rsid w:val="00870CEC"/>
    <w:rsid w:val="00870E5E"/>
    <w:rsid w:val="00870E6D"/>
    <w:rsid w:val="00870FB7"/>
    <w:rsid w:val="0087231D"/>
    <w:rsid w:val="008728BD"/>
    <w:rsid w:val="008729B9"/>
    <w:rsid w:val="008729F3"/>
    <w:rsid w:val="00872B2C"/>
    <w:rsid w:val="00872B32"/>
    <w:rsid w:val="00872B64"/>
    <w:rsid w:val="00872C06"/>
    <w:rsid w:val="00872D89"/>
    <w:rsid w:val="00872FDD"/>
    <w:rsid w:val="00873522"/>
    <w:rsid w:val="0087378E"/>
    <w:rsid w:val="0087385E"/>
    <w:rsid w:val="00873C58"/>
    <w:rsid w:val="008742DB"/>
    <w:rsid w:val="0087432F"/>
    <w:rsid w:val="0087446A"/>
    <w:rsid w:val="00874645"/>
    <w:rsid w:val="00874731"/>
    <w:rsid w:val="00874A58"/>
    <w:rsid w:val="00874E23"/>
    <w:rsid w:val="00874E41"/>
    <w:rsid w:val="00874E63"/>
    <w:rsid w:val="0087500A"/>
    <w:rsid w:val="00875348"/>
    <w:rsid w:val="008758A4"/>
    <w:rsid w:val="008759BD"/>
    <w:rsid w:val="00875DA3"/>
    <w:rsid w:val="0087607F"/>
    <w:rsid w:val="00876479"/>
    <w:rsid w:val="00876530"/>
    <w:rsid w:val="0087680A"/>
    <w:rsid w:val="008769BA"/>
    <w:rsid w:val="008770B0"/>
    <w:rsid w:val="0087729C"/>
    <w:rsid w:val="00877368"/>
    <w:rsid w:val="008775B0"/>
    <w:rsid w:val="00877611"/>
    <w:rsid w:val="0087777E"/>
    <w:rsid w:val="0087785C"/>
    <w:rsid w:val="00877B1C"/>
    <w:rsid w:val="00877EE1"/>
    <w:rsid w:val="0088022D"/>
    <w:rsid w:val="00880357"/>
    <w:rsid w:val="0088051B"/>
    <w:rsid w:val="00880623"/>
    <w:rsid w:val="0088069B"/>
    <w:rsid w:val="008806A6"/>
    <w:rsid w:val="0088090A"/>
    <w:rsid w:val="00880AD8"/>
    <w:rsid w:val="00881044"/>
    <w:rsid w:val="008812B8"/>
    <w:rsid w:val="0088142D"/>
    <w:rsid w:val="00881435"/>
    <w:rsid w:val="00881440"/>
    <w:rsid w:val="00881B73"/>
    <w:rsid w:val="00881CD4"/>
    <w:rsid w:val="00881F82"/>
    <w:rsid w:val="008824A4"/>
    <w:rsid w:val="00882B90"/>
    <w:rsid w:val="00883307"/>
    <w:rsid w:val="008834A1"/>
    <w:rsid w:val="0088381A"/>
    <w:rsid w:val="0088388C"/>
    <w:rsid w:val="008839D4"/>
    <w:rsid w:val="00883DB1"/>
    <w:rsid w:val="008841E6"/>
    <w:rsid w:val="00884341"/>
    <w:rsid w:val="00884497"/>
    <w:rsid w:val="00884662"/>
    <w:rsid w:val="008848C5"/>
    <w:rsid w:val="00884B1B"/>
    <w:rsid w:val="008850BB"/>
    <w:rsid w:val="0088543F"/>
    <w:rsid w:val="00885498"/>
    <w:rsid w:val="00885EF2"/>
    <w:rsid w:val="008860AD"/>
    <w:rsid w:val="008863A5"/>
    <w:rsid w:val="00886A9A"/>
    <w:rsid w:val="00886B5A"/>
    <w:rsid w:val="00886FFD"/>
    <w:rsid w:val="008871EA"/>
    <w:rsid w:val="008876FA"/>
    <w:rsid w:val="00887707"/>
    <w:rsid w:val="00887779"/>
    <w:rsid w:val="00887985"/>
    <w:rsid w:val="00887C57"/>
    <w:rsid w:val="00887D5B"/>
    <w:rsid w:val="00887DA8"/>
    <w:rsid w:val="0089024F"/>
    <w:rsid w:val="0089034B"/>
    <w:rsid w:val="00890637"/>
    <w:rsid w:val="008909B0"/>
    <w:rsid w:val="00890A25"/>
    <w:rsid w:val="00890D5C"/>
    <w:rsid w:val="0089107E"/>
    <w:rsid w:val="00891B42"/>
    <w:rsid w:val="00891E89"/>
    <w:rsid w:val="008920C4"/>
    <w:rsid w:val="0089222F"/>
    <w:rsid w:val="008923AF"/>
    <w:rsid w:val="008924EC"/>
    <w:rsid w:val="0089262D"/>
    <w:rsid w:val="00892EA8"/>
    <w:rsid w:val="008933A8"/>
    <w:rsid w:val="0089390A"/>
    <w:rsid w:val="00893974"/>
    <w:rsid w:val="008939B3"/>
    <w:rsid w:val="00893CF8"/>
    <w:rsid w:val="00893E5B"/>
    <w:rsid w:val="00893E9C"/>
    <w:rsid w:val="00893EA0"/>
    <w:rsid w:val="00894720"/>
    <w:rsid w:val="00894764"/>
    <w:rsid w:val="00894882"/>
    <w:rsid w:val="00894B4C"/>
    <w:rsid w:val="00894C7B"/>
    <w:rsid w:val="00894E29"/>
    <w:rsid w:val="008953C1"/>
    <w:rsid w:val="0089663F"/>
    <w:rsid w:val="00896767"/>
    <w:rsid w:val="00896D82"/>
    <w:rsid w:val="00896DDB"/>
    <w:rsid w:val="00896FA0"/>
    <w:rsid w:val="0089715C"/>
    <w:rsid w:val="008974C9"/>
    <w:rsid w:val="00897521"/>
    <w:rsid w:val="008977E0"/>
    <w:rsid w:val="0089783C"/>
    <w:rsid w:val="00897905"/>
    <w:rsid w:val="00897A08"/>
    <w:rsid w:val="00897B95"/>
    <w:rsid w:val="00897E10"/>
    <w:rsid w:val="008A007E"/>
    <w:rsid w:val="008A1747"/>
    <w:rsid w:val="008A1B72"/>
    <w:rsid w:val="008A1E79"/>
    <w:rsid w:val="008A28C9"/>
    <w:rsid w:val="008A2B98"/>
    <w:rsid w:val="008A2C0D"/>
    <w:rsid w:val="008A2E55"/>
    <w:rsid w:val="008A2F63"/>
    <w:rsid w:val="008A35EE"/>
    <w:rsid w:val="008A39BF"/>
    <w:rsid w:val="008A3A29"/>
    <w:rsid w:val="008A3DD2"/>
    <w:rsid w:val="008A3F93"/>
    <w:rsid w:val="008A40AC"/>
    <w:rsid w:val="008A47A5"/>
    <w:rsid w:val="008A50EF"/>
    <w:rsid w:val="008A547C"/>
    <w:rsid w:val="008A5716"/>
    <w:rsid w:val="008A57E4"/>
    <w:rsid w:val="008A67CE"/>
    <w:rsid w:val="008A6C09"/>
    <w:rsid w:val="008A6F27"/>
    <w:rsid w:val="008A6FC6"/>
    <w:rsid w:val="008A7054"/>
    <w:rsid w:val="008A72DB"/>
    <w:rsid w:val="008A73DC"/>
    <w:rsid w:val="008A779F"/>
    <w:rsid w:val="008A798B"/>
    <w:rsid w:val="008A7A1A"/>
    <w:rsid w:val="008B0203"/>
    <w:rsid w:val="008B0AE6"/>
    <w:rsid w:val="008B172C"/>
    <w:rsid w:val="008B1950"/>
    <w:rsid w:val="008B19BC"/>
    <w:rsid w:val="008B1B1B"/>
    <w:rsid w:val="008B1C9E"/>
    <w:rsid w:val="008B1E03"/>
    <w:rsid w:val="008B1F9A"/>
    <w:rsid w:val="008B2408"/>
    <w:rsid w:val="008B28F0"/>
    <w:rsid w:val="008B2BD2"/>
    <w:rsid w:val="008B2E76"/>
    <w:rsid w:val="008B3042"/>
    <w:rsid w:val="008B3179"/>
    <w:rsid w:val="008B345F"/>
    <w:rsid w:val="008B3516"/>
    <w:rsid w:val="008B353D"/>
    <w:rsid w:val="008B356E"/>
    <w:rsid w:val="008B3789"/>
    <w:rsid w:val="008B39D8"/>
    <w:rsid w:val="008B3BAE"/>
    <w:rsid w:val="008B3D1D"/>
    <w:rsid w:val="008B3DC2"/>
    <w:rsid w:val="008B4272"/>
    <w:rsid w:val="008B4301"/>
    <w:rsid w:val="008B43B5"/>
    <w:rsid w:val="008B455F"/>
    <w:rsid w:val="008B458A"/>
    <w:rsid w:val="008B49D2"/>
    <w:rsid w:val="008B49D5"/>
    <w:rsid w:val="008B4B1D"/>
    <w:rsid w:val="008B4B21"/>
    <w:rsid w:val="008B4C4A"/>
    <w:rsid w:val="008B50C9"/>
    <w:rsid w:val="008B5365"/>
    <w:rsid w:val="008B5927"/>
    <w:rsid w:val="008B59C0"/>
    <w:rsid w:val="008B5B91"/>
    <w:rsid w:val="008B5F21"/>
    <w:rsid w:val="008B61C6"/>
    <w:rsid w:val="008B62F7"/>
    <w:rsid w:val="008B65FB"/>
    <w:rsid w:val="008B685A"/>
    <w:rsid w:val="008B69C0"/>
    <w:rsid w:val="008B6A60"/>
    <w:rsid w:val="008B6BDB"/>
    <w:rsid w:val="008B6EC4"/>
    <w:rsid w:val="008B700B"/>
    <w:rsid w:val="008B7347"/>
    <w:rsid w:val="008B7418"/>
    <w:rsid w:val="008B76CC"/>
    <w:rsid w:val="008B777A"/>
    <w:rsid w:val="008B79B9"/>
    <w:rsid w:val="008B7E47"/>
    <w:rsid w:val="008B7FBC"/>
    <w:rsid w:val="008C0563"/>
    <w:rsid w:val="008C0665"/>
    <w:rsid w:val="008C0ABE"/>
    <w:rsid w:val="008C1365"/>
    <w:rsid w:val="008C140F"/>
    <w:rsid w:val="008C1420"/>
    <w:rsid w:val="008C150D"/>
    <w:rsid w:val="008C1670"/>
    <w:rsid w:val="008C1696"/>
    <w:rsid w:val="008C18F1"/>
    <w:rsid w:val="008C28C4"/>
    <w:rsid w:val="008C29CB"/>
    <w:rsid w:val="008C31E5"/>
    <w:rsid w:val="008C3383"/>
    <w:rsid w:val="008C360C"/>
    <w:rsid w:val="008C39D9"/>
    <w:rsid w:val="008C3A14"/>
    <w:rsid w:val="008C3FC8"/>
    <w:rsid w:val="008C4724"/>
    <w:rsid w:val="008C4C9A"/>
    <w:rsid w:val="008C4CA5"/>
    <w:rsid w:val="008C4F08"/>
    <w:rsid w:val="008C53F1"/>
    <w:rsid w:val="008C59C9"/>
    <w:rsid w:val="008C59F6"/>
    <w:rsid w:val="008C5A33"/>
    <w:rsid w:val="008C5C82"/>
    <w:rsid w:val="008C640D"/>
    <w:rsid w:val="008C6691"/>
    <w:rsid w:val="008C6782"/>
    <w:rsid w:val="008C68D5"/>
    <w:rsid w:val="008C6C72"/>
    <w:rsid w:val="008C6C8D"/>
    <w:rsid w:val="008C6E03"/>
    <w:rsid w:val="008C7392"/>
    <w:rsid w:val="008C7524"/>
    <w:rsid w:val="008C77E1"/>
    <w:rsid w:val="008C7C6B"/>
    <w:rsid w:val="008D0076"/>
    <w:rsid w:val="008D0627"/>
    <w:rsid w:val="008D06E1"/>
    <w:rsid w:val="008D0763"/>
    <w:rsid w:val="008D0B87"/>
    <w:rsid w:val="008D0D9B"/>
    <w:rsid w:val="008D12FB"/>
    <w:rsid w:val="008D1366"/>
    <w:rsid w:val="008D15D1"/>
    <w:rsid w:val="008D1701"/>
    <w:rsid w:val="008D175E"/>
    <w:rsid w:val="008D1B66"/>
    <w:rsid w:val="008D1D17"/>
    <w:rsid w:val="008D201C"/>
    <w:rsid w:val="008D2EEB"/>
    <w:rsid w:val="008D2F28"/>
    <w:rsid w:val="008D313C"/>
    <w:rsid w:val="008D3506"/>
    <w:rsid w:val="008D35C7"/>
    <w:rsid w:val="008D3978"/>
    <w:rsid w:val="008D397F"/>
    <w:rsid w:val="008D3FD6"/>
    <w:rsid w:val="008D407C"/>
    <w:rsid w:val="008D430E"/>
    <w:rsid w:val="008D50B5"/>
    <w:rsid w:val="008D51A8"/>
    <w:rsid w:val="008D534A"/>
    <w:rsid w:val="008D5375"/>
    <w:rsid w:val="008D5518"/>
    <w:rsid w:val="008D5B54"/>
    <w:rsid w:val="008D61A3"/>
    <w:rsid w:val="008D635F"/>
    <w:rsid w:val="008D63AE"/>
    <w:rsid w:val="008D6754"/>
    <w:rsid w:val="008D692A"/>
    <w:rsid w:val="008D6952"/>
    <w:rsid w:val="008D6A02"/>
    <w:rsid w:val="008D6AEE"/>
    <w:rsid w:val="008D6D01"/>
    <w:rsid w:val="008D6E88"/>
    <w:rsid w:val="008D7788"/>
    <w:rsid w:val="008E0147"/>
    <w:rsid w:val="008E03ED"/>
    <w:rsid w:val="008E04BD"/>
    <w:rsid w:val="008E057F"/>
    <w:rsid w:val="008E0B76"/>
    <w:rsid w:val="008E0E3E"/>
    <w:rsid w:val="008E12E2"/>
    <w:rsid w:val="008E14C8"/>
    <w:rsid w:val="008E16F4"/>
    <w:rsid w:val="008E1733"/>
    <w:rsid w:val="008E17AB"/>
    <w:rsid w:val="008E1A47"/>
    <w:rsid w:val="008E1FB2"/>
    <w:rsid w:val="008E20C2"/>
    <w:rsid w:val="008E2454"/>
    <w:rsid w:val="008E26EB"/>
    <w:rsid w:val="008E28EF"/>
    <w:rsid w:val="008E2A39"/>
    <w:rsid w:val="008E2C87"/>
    <w:rsid w:val="008E2DE5"/>
    <w:rsid w:val="008E2F2A"/>
    <w:rsid w:val="008E3080"/>
    <w:rsid w:val="008E3098"/>
    <w:rsid w:val="008E3AC1"/>
    <w:rsid w:val="008E3FB6"/>
    <w:rsid w:val="008E4082"/>
    <w:rsid w:val="008E426A"/>
    <w:rsid w:val="008E427C"/>
    <w:rsid w:val="008E4622"/>
    <w:rsid w:val="008E463A"/>
    <w:rsid w:val="008E4728"/>
    <w:rsid w:val="008E4AA1"/>
    <w:rsid w:val="008E4FDA"/>
    <w:rsid w:val="008E4FE6"/>
    <w:rsid w:val="008E5007"/>
    <w:rsid w:val="008E56C1"/>
    <w:rsid w:val="008E5843"/>
    <w:rsid w:val="008E585F"/>
    <w:rsid w:val="008E58BF"/>
    <w:rsid w:val="008E60D0"/>
    <w:rsid w:val="008E6442"/>
    <w:rsid w:val="008E650F"/>
    <w:rsid w:val="008E66BE"/>
    <w:rsid w:val="008E6A44"/>
    <w:rsid w:val="008E6B7F"/>
    <w:rsid w:val="008E6FBC"/>
    <w:rsid w:val="008E7510"/>
    <w:rsid w:val="008E75D1"/>
    <w:rsid w:val="008E7651"/>
    <w:rsid w:val="008E76D2"/>
    <w:rsid w:val="008E7708"/>
    <w:rsid w:val="008E7889"/>
    <w:rsid w:val="008E7B8B"/>
    <w:rsid w:val="008E7E5C"/>
    <w:rsid w:val="008F0134"/>
    <w:rsid w:val="008F04D6"/>
    <w:rsid w:val="008F0B83"/>
    <w:rsid w:val="008F0E18"/>
    <w:rsid w:val="008F0E30"/>
    <w:rsid w:val="008F10BC"/>
    <w:rsid w:val="008F1261"/>
    <w:rsid w:val="008F174F"/>
    <w:rsid w:val="008F1769"/>
    <w:rsid w:val="008F19E8"/>
    <w:rsid w:val="008F1AA7"/>
    <w:rsid w:val="008F1BC3"/>
    <w:rsid w:val="008F1DFC"/>
    <w:rsid w:val="008F1E54"/>
    <w:rsid w:val="008F1FBC"/>
    <w:rsid w:val="008F24E1"/>
    <w:rsid w:val="008F2520"/>
    <w:rsid w:val="008F2E5B"/>
    <w:rsid w:val="008F3435"/>
    <w:rsid w:val="008F36F4"/>
    <w:rsid w:val="008F3B84"/>
    <w:rsid w:val="008F3F09"/>
    <w:rsid w:val="008F4219"/>
    <w:rsid w:val="008F4259"/>
    <w:rsid w:val="008F477E"/>
    <w:rsid w:val="008F4B1F"/>
    <w:rsid w:val="008F529B"/>
    <w:rsid w:val="008F5E47"/>
    <w:rsid w:val="008F61D3"/>
    <w:rsid w:val="008F65C2"/>
    <w:rsid w:val="008F6C2E"/>
    <w:rsid w:val="008F70A1"/>
    <w:rsid w:val="008F730C"/>
    <w:rsid w:val="008F75EF"/>
    <w:rsid w:val="008F76C0"/>
    <w:rsid w:val="008F76CD"/>
    <w:rsid w:val="008F7713"/>
    <w:rsid w:val="008F77F2"/>
    <w:rsid w:val="0090122F"/>
    <w:rsid w:val="0090126B"/>
    <w:rsid w:val="00901333"/>
    <w:rsid w:val="00901960"/>
    <w:rsid w:val="00901BDA"/>
    <w:rsid w:val="00901DD2"/>
    <w:rsid w:val="00901E2E"/>
    <w:rsid w:val="00902031"/>
    <w:rsid w:val="0090211A"/>
    <w:rsid w:val="00902135"/>
    <w:rsid w:val="0090234B"/>
    <w:rsid w:val="0090239A"/>
    <w:rsid w:val="00902572"/>
    <w:rsid w:val="00902607"/>
    <w:rsid w:val="0090269E"/>
    <w:rsid w:val="009027CD"/>
    <w:rsid w:val="00902DF2"/>
    <w:rsid w:val="009030C1"/>
    <w:rsid w:val="00903C83"/>
    <w:rsid w:val="00904075"/>
    <w:rsid w:val="0090418E"/>
    <w:rsid w:val="00904191"/>
    <w:rsid w:val="00904503"/>
    <w:rsid w:val="0090457F"/>
    <w:rsid w:val="0090471A"/>
    <w:rsid w:val="009047A4"/>
    <w:rsid w:val="00905878"/>
    <w:rsid w:val="00905ACF"/>
    <w:rsid w:val="00905F11"/>
    <w:rsid w:val="0090618E"/>
    <w:rsid w:val="00906733"/>
    <w:rsid w:val="00906D3C"/>
    <w:rsid w:val="00907615"/>
    <w:rsid w:val="00910689"/>
    <w:rsid w:val="0091093B"/>
    <w:rsid w:val="009109DB"/>
    <w:rsid w:val="00910B0D"/>
    <w:rsid w:val="00910F28"/>
    <w:rsid w:val="009110D6"/>
    <w:rsid w:val="0091112D"/>
    <w:rsid w:val="0091139D"/>
    <w:rsid w:val="0091173C"/>
    <w:rsid w:val="00911CFE"/>
    <w:rsid w:val="00911DA3"/>
    <w:rsid w:val="00911E41"/>
    <w:rsid w:val="00912188"/>
    <w:rsid w:val="00912332"/>
    <w:rsid w:val="00912537"/>
    <w:rsid w:val="00912548"/>
    <w:rsid w:val="00912677"/>
    <w:rsid w:val="0091298B"/>
    <w:rsid w:val="00912BC1"/>
    <w:rsid w:val="00912DB4"/>
    <w:rsid w:val="009133DA"/>
    <w:rsid w:val="009134D9"/>
    <w:rsid w:val="009135BB"/>
    <w:rsid w:val="00913F41"/>
    <w:rsid w:val="0091402E"/>
    <w:rsid w:val="0091410A"/>
    <w:rsid w:val="0091425A"/>
    <w:rsid w:val="009142A7"/>
    <w:rsid w:val="009144A7"/>
    <w:rsid w:val="00914674"/>
    <w:rsid w:val="0091485A"/>
    <w:rsid w:val="0091495F"/>
    <w:rsid w:val="00914B03"/>
    <w:rsid w:val="00914CD7"/>
    <w:rsid w:val="009152EC"/>
    <w:rsid w:val="009153D4"/>
    <w:rsid w:val="0091559A"/>
    <w:rsid w:val="0091567E"/>
    <w:rsid w:val="00915699"/>
    <w:rsid w:val="00915C7E"/>
    <w:rsid w:val="009163B1"/>
    <w:rsid w:val="00916425"/>
    <w:rsid w:val="009166EB"/>
    <w:rsid w:val="009168BB"/>
    <w:rsid w:val="00916DD4"/>
    <w:rsid w:val="00916FE6"/>
    <w:rsid w:val="00917812"/>
    <w:rsid w:val="009178EA"/>
    <w:rsid w:val="00917DA1"/>
    <w:rsid w:val="00920420"/>
    <w:rsid w:val="00920732"/>
    <w:rsid w:val="00920934"/>
    <w:rsid w:val="0092093A"/>
    <w:rsid w:val="0092099B"/>
    <w:rsid w:val="00920A99"/>
    <w:rsid w:val="00920DAF"/>
    <w:rsid w:val="00921066"/>
    <w:rsid w:val="009210F8"/>
    <w:rsid w:val="009214C9"/>
    <w:rsid w:val="009215D1"/>
    <w:rsid w:val="00921663"/>
    <w:rsid w:val="009219A9"/>
    <w:rsid w:val="00921DF6"/>
    <w:rsid w:val="0092243F"/>
    <w:rsid w:val="00922665"/>
    <w:rsid w:val="0092269B"/>
    <w:rsid w:val="00922784"/>
    <w:rsid w:val="00922AB2"/>
    <w:rsid w:val="00922C9E"/>
    <w:rsid w:val="0092313A"/>
    <w:rsid w:val="00923146"/>
    <w:rsid w:val="0092344C"/>
    <w:rsid w:val="0092370C"/>
    <w:rsid w:val="00923808"/>
    <w:rsid w:val="009238B9"/>
    <w:rsid w:val="009238D2"/>
    <w:rsid w:val="0092393B"/>
    <w:rsid w:val="00923A56"/>
    <w:rsid w:val="00923C74"/>
    <w:rsid w:val="00923DEB"/>
    <w:rsid w:val="00923E96"/>
    <w:rsid w:val="0092419B"/>
    <w:rsid w:val="0092449D"/>
    <w:rsid w:val="00924BEF"/>
    <w:rsid w:val="00924D41"/>
    <w:rsid w:val="00924D7C"/>
    <w:rsid w:val="00924F63"/>
    <w:rsid w:val="00925137"/>
    <w:rsid w:val="00925467"/>
    <w:rsid w:val="00925699"/>
    <w:rsid w:val="00925960"/>
    <w:rsid w:val="009259E4"/>
    <w:rsid w:val="00925C76"/>
    <w:rsid w:val="00925D41"/>
    <w:rsid w:val="00925D80"/>
    <w:rsid w:val="00926618"/>
    <w:rsid w:val="00926624"/>
    <w:rsid w:val="009269C0"/>
    <w:rsid w:val="00926E84"/>
    <w:rsid w:val="00926E96"/>
    <w:rsid w:val="00926EDF"/>
    <w:rsid w:val="00926F3C"/>
    <w:rsid w:val="009271B4"/>
    <w:rsid w:val="00927958"/>
    <w:rsid w:val="009279BD"/>
    <w:rsid w:val="00927FBB"/>
    <w:rsid w:val="00930223"/>
    <w:rsid w:val="00930271"/>
    <w:rsid w:val="00930C25"/>
    <w:rsid w:val="00930EFF"/>
    <w:rsid w:val="00930FF7"/>
    <w:rsid w:val="00931067"/>
    <w:rsid w:val="009311B4"/>
    <w:rsid w:val="0093149E"/>
    <w:rsid w:val="009316C3"/>
    <w:rsid w:val="00931A93"/>
    <w:rsid w:val="00931CF9"/>
    <w:rsid w:val="00932115"/>
    <w:rsid w:val="009321D5"/>
    <w:rsid w:val="00932781"/>
    <w:rsid w:val="0093289D"/>
    <w:rsid w:val="0093308A"/>
    <w:rsid w:val="0093308B"/>
    <w:rsid w:val="009333F3"/>
    <w:rsid w:val="00933577"/>
    <w:rsid w:val="00933713"/>
    <w:rsid w:val="00933921"/>
    <w:rsid w:val="00933BE3"/>
    <w:rsid w:val="00933C9F"/>
    <w:rsid w:val="00933EF9"/>
    <w:rsid w:val="00933F7B"/>
    <w:rsid w:val="00934933"/>
    <w:rsid w:val="00934BA5"/>
    <w:rsid w:val="009351AC"/>
    <w:rsid w:val="009356B8"/>
    <w:rsid w:val="00935B8D"/>
    <w:rsid w:val="0093611C"/>
    <w:rsid w:val="009361A8"/>
    <w:rsid w:val="009363D0"/>
    <w:rsid w:val="00936925"/>
    <w:rsid w:val="009371BD"/>
    <w:rsid w:val="009372D4"/>
    <w:rsid w:val="00937352"/>
    <w:rsid w:val="009376CF"/>
    <w:rsid w:val="00937711"/>
    <w:rsid w:val="009379A4"/>
    <w:rsid w:val="00937D56"/>
    <w:rsid w:val="00937E18"/>
    <w:rsid w:val="00937E2E"/>
    <w:rsid w:val="00937F93"/>
    <w:rsid w:val="00940619"/>
    <w:rsid w:val="00940749"/>
    <w:rsid w:val="00940E51"/>
    <w:rsid w:val="00940E83"/>
    <w:rsid w:val="00940EB2"/>
    <w:rsid w:val="00940FDA"/>
    <w:rsid w:val="00941099"/>
    <w:rsid w:val="00941214"/>
    <w:rsid w:val="009413FB"/>
    <w:rsid w:val="00941408"/>
    <w:rsid w:val="00941D1B"/>
    <w:rsid w:val="009420CD"/>
    <w:rsid w:val="00942270"/>
    <w:rsid w:val="009422D0"/>
    <w:rsid w:val="009427A2"/>
    <w:rsid w:val="00942B2A"/>
    <w:rsid w:val="00943153"/>
    <w:rsid w:val="009431F5"/>
    <w:rsid w:val="009431FF"/>
    <w:rsid w:val="0094321D"/>
    <w:rsid w:val="00943416"/>
    <w:rsid w:val="00943483"/>
    <w:rsid w:val="009438A5"/>
    <w:rsid w:val="00943943"/>
    <w:rsid w:val="00943CEE"/>
    <w:rsid w:val="00943D3D"/>
    <w:rsid w:val="00943D6E"/>
    <w:rsid w:val="00943EBE"/>
    <w:rsid w:val="009442B0"/>
    <w:rsid w:val="009446AA"/>
    <w:rsid w:val="00945076"/>
    <w:rsid w:val="00945169"/>
    <w:rsid w:val="00945436"/>
    <w:rsid w:val="0094557E"/>
    <w:rsid w:val="00945658"/>
    <w:rsid w:val="00945A89"/>
    <w:rsid w:val="00945BF7"/>
    <w:rsid w:val="00946063"/>
    <w:rsid w:val="009462F0"/>
    <w:rsid w:val="00946607"/>
    <w:rsid w:val="00946877"/>
    <w:rsid w:val="00946E6A"/>
    <w:rsid w:val="0094753F"/>
    <w:rsid w:val="0094756A"/>
    <w:rsid w:val="009476C1"/>
    <w:rsid w:val="009477D3"/>
    <w:rsid w:val="00947918"/>
    <w:rsid w:val="00947BCD"/>
    <w:rsid w:val="00947EC2"/>
    <w:rsid w:val="00947EC4"/>
    <w:rsid w:val="009500EF"/>
    <w:rsid w:val="0095016E"/>
    <w:rsid w:val="00950230"/>
    <w:rsid w:val="00950559"/>
    <w:rsid w:val="009506F2"/>
    <w:rsid w:val="0095077F"/>
    <w:rsid w:val="009507DD"/>
    <w:rsid w:val="00950886"/>
    <w:rsid w:val="0095093B"/>
    <w:rsid w:val="009519D3"/>
    <w:rsid w:val="00951A51"/>
    <w:rsid w:val="009522D3"/>
    <w:rsid w:val="00952609"/>
    <w:rsid w:val="00952AAE"/>
    <w:rsid w:val="00952AB6"/>
    <w:rsid w:val="00952FAC"/>
    <w:rsid w:val="00953258"/>
    <w:rsid w:val="009535A9"/>
    <w:rsid w:val="009538A7"/>
    <w:rsid w:val="00953C4B"/>
    <w:rsid w:val="00953DCD"/>
    <w:rsid w:val="009542C4"/>
    <w:rsid w:val="009543B8"/>
    <w:rsid w:val="00954776"/>
    <w:rsid w:val="00954E78"/>
    <w:rsid w:val="00954FE0"/>
    <w:rsid w:val="0095514F"/>
    <w:rsid w:val="0095530E"/>
    <w:rsid w:val="00955C52"/>
    <w:rsid w:val="00955C6A"/>
    <w:rsid w:val="00955D1E"/>
    <w:rsid w:val="00956323"/>
    <w:rsid w:val="00956AC7"/>
    <w:rsid w:val="00956D22"/>
    <w:rsid w:val="00956E01"/>
    <w:rsid w:val="009570EE"/>
    <w:rsid w:val="0095744A"/>
    <w:rsid w:val="00957497"/>
    <w:rsid w:val="009574E9"/>
    <w:rsid w:val="00957631"/>
    <w:rsid w:val="0095765A"/>
    <w:rsid w:val="00957722"/>
    <w:rsid w:val="009577C5"/>
    <w:rsid w:val="0095783C"/>
    <w:rsid w:val="00957EAC"/>
    <w:rsid w:val="009600A3"/>
    <w:rsid w:val="0096027B"/>
    <w:rsid w:val="00960413"/>
    <w:rsid w:val="00960886"/>
    <w:rsid w:val="00960CDC"/>
    <w:rsid w:val="00960D18"/>
    <w:rsid w:val="00960E7F"/>
    <w:rsid w:val="00960EF3"/>
    <w:rsid w:val="00960F26"/>
    <w:rsid w:val="00961175"/>
    <w:rsid w:val="009613A9"/>
    <w:rsid w:val="0096151B"/>
    <w:rsid w:val="009617AF"/>
    <w:rsid w:val="009617EE"/>
    <w:rsid w:val="0096190F"/>
    <w:rsid w:val="00961A8F"/>
    <w:rsid w:val="00961D70"/>
    <w:rsid w:val="00961E6C"/>
    <w:rsid w:val="00961F0A"/>
    <w:rsid w:val="0096204C"/>
    <w:rsid w:val="00962095"/>
    <w:rsid w:val="00962134"/>
    <w:rsid w:val="009626E7"/>
    <w:rsid w:val="00962FA1"/>
    <w:rsid w:val="00963102"/>
    <w:rsid w:val="00963597"/>
    <w:rsid w:val="00963851"/>
    <w:rsid w:val="009639F7"/>
    <w:rsid w:val="00963D59"/>
    <w:rsid w:val="00963D76"/>
    <w:rsid w:val="00964008"/>
    <w:rsid w:val="009645D0"/>
    <w:rsid w:val="00964B4D"/>
    <w:rsid w:val="009651E6"/>
    <w:rsid w:val="009654E3"/>
    <w:rsid w:val="009656ED"/>
    <w:rsid w:val="00965A2B"/>
    <w:rsid w:val="00965B04"/>
    <w:rsid w:val="00965BAB"/>
    <w:rsid w:val="00965D6E"/>
    <w:rsid w:val="00965DE9"/>
    <w:rsid w:val="00965ECA"/>
    <w:rsid w:val="00965FEE"/>
    <w:rsid w:val="0096626E"/>
    <w:rsid w:val="00966389"/>
    <w:rsid w:val="0096645D"/>
    <w:rsid w:val="0096680A"/>
    <w:rsid w:val="009668A0"/>
    <w:rsid w:val="009668E7"/>
    <w:rsid w:val="00966A6E"/>
    <w:rsid w:val="009674B7"/>
    <w:rsid w:val="00967AFA"/>
    <w:rsid w:val="00967E5E"/>
    <w:rsid w:val="00967F42"/>
    <w:rsid w:val="00970257"/>
    <w:rsid w:val="009702C1"/>
    <w:rsid w:val="009702F3"/>
    <w:rsid w:val="009703E3"/>
    <w:rsid w:val="00970C7F"/>
    <w:rsid w:val="00970F7D"/>
    <w:rsid w:val="00971C14"/>
    <w:rsid w:val="00971CD8"/>
    <w:rsid w:val="0097203C"/>
    <w:rsid w:val="00972377"/>
    <w:rsid w:val="009725F4"/>
    <w:rsid w:val="009726E1"/>
    <w:rsid w:val="00972F0F"/>
    <w:rsid w:val="00973848"/>
    <w:rsid w:val="00973CCE"/>
    <w:rsid w:val="00973DCA"/>
    <w:rsid w:val="00973F13"/>
    <w:rsid w:val="0097434D"/>
    <w:rsid w:val="00974527"/>
    <w:rsid w:val="00974605"/>
    <w:rsid w:val="0097475E"/>
    <w:rsid w:val="0097480B"/>
    <w:rsid w:val="00974866"/>
    <w:rsid w:val="00975166"/>
    <w:rsid w:val="00975345"/>
    <w:rsid w:val="00975AB2"/>
    <w:rsid w:val="00975E60"/>
    <w:rsid w:val="009773BE"/>
    <w:rsid w:val="009774DE"/>
    <w:rsid w:val="009775AA"/>
    <w:rsid w:val="009776F3"/>
    <w:rsid w:val="009777AB"/>
    <w:rsid w:val="009777F6"/>
    <w:rsid w:val="00977952"/>
    <w:rsid w:val="00977FFA"/>
    <w:rsid w:val="0098002C"/>
    <w:rsid w:val="009806EA"/>
    <w:rsid w:val="0098086C"/>
    <w:rsid w:val="00980AAA"/>
    <w:rsid w:val="00980BB5"/>
    <w:rsid w:val="00980FC9"/>
    <w:rsid w:val="00981232"/>
    <w:rsid w:val="00981A04"/>
    <w:rsid w:val="00981DA4"/>
    <w:rsid w:val="00982072"/>
    <w:rsid w:val="009826D9"/>
    <w:rsid w:val="00983DFC"/>
    <w:rsid w:val="00983E2A"/>
    <w:rsid w:val="00983F09"/>
    <w:rsid w:val="009841E5"/>
    <w:rsid w:val="009842DD"/>
    <w:rsid w:val="0098464F"/>
    <w:rsid w:val="0098487A"/>
    <w:rsid w:val="00984A78"/>
    <w:rsid w:val="00984AA3"/>
    <w:rsid w:val="00984D7A"/>
    <w:rsid w:val="009851FD"/>
    <w:rsid w:val="00985325"/>
    <w:rsid w:val="00985368"/>
    <w:rsid w:val="00985380"/>
    <w:rsid w:val="0098575F"/>
    <w:rsid w:val="00985A55"/>
    <w:rsid w:val="00985B1E"/>
    <w:rsid w:val="009861C3"/>
    <w:rsid w:val="009867C9"/>
    <w:rsid w:val="00986A77"/>
    <w:rsid w:val="00986AAA"/>
    <w:rsid w:val="00986DD9"/>
    <w:rsid w:val="009872C4"/>
    <w:rsid w:val="00987EB1"/>
    <w:rsid w:val="009905F1"/>
    <w:rsid w:val="0099078F"/>
    <w:rsid w:val="00990C49"/>
    <w:rsid w:val="00990CC4"/>
    <w:rsid w:val="00991EE3"/>
    <w:rsid w:val="00992442"/>
    <w:rsid w:val="00992B2B"/>
    <w:rsid w:val="00992D6B"/>
    <w:rsid w:val="00992E8C"/>
    <w:rsid w:val="00993041"/>
    <w:rsid w:val="00993463"/>
    <w:rsid w:val="009935FA"/>
    <w:rsid w:val="0099365E"/>
    <w:rsid w:val="0099379A"/>
    <w:rsid w:val="00993B02"/>
    <w:rsid w:val="00993F4B"/>
    <w:rsid w:val="0099412F"/>
    <w:rsid w:val="00994294"/>
    <w:rsid w:val="00994649"/>
    <w:rsid w:val="009948A0"/>
    <w:rsid w:val="00994A5F"/>
    <w:rsid w:val="00994D41"/>
    <w:rsid w:val="00994F74"/>
    <w:rsid w:val="009950AD"/>
    <w:rsid w:val="0099510E"/>
    <w:rsid w:val="00995497"/>
    <w:rsid w:val="0099556C"/>
    <w:rsid w:val="00995A6B"/>
    <w:rsid w:val="00996324"/>
    <w:rsid w:val="0099660B"/>
    <w:rsid w:val="0099668E"/>
    <w:rsid w:val="00996BED"/>
    <w:rsid w:val="00997188"/>
    <w:rsid w:val="009973A4"/>
    <w:rsid w:val="0099766E"/>
    <w:rsid w:val="0099775B"/>
    <w:rsid w:val="00997C26"/>
    <w:rsid w:val="00997D1B"/>
    <w:rsid w:val="00997D78"/>
    <w:rsid w:val="00997F9F"/>
    <w:rsid w:val="009A0106"/>
    <w:rsid w:val="009A05E4"/>
    <w:rsid w:val="009A0624"/>
    <w:rsid w:val="009A073A"/>
    <w:rsid w:val="009A0AB1"/>
    <w:rsid w:val="009A0CAE"/>
    <w:rsid w:val="009A0DB9"/>
    <w:rsid w:val="009A0E67"/>
    <w:rsid w:val="009A104C"/>
    <w:rsid w:val="009A185B"/>
    <w:rsid w:val="009A1C58"/>
    <w:rsid w:val="009A2096"/>
    <w:rsid w:val="009A23B6"/>
    <w:rsid w:val="009A23E6"/>
    <w:rsid w:val="009A2841"/>
    <w:rsid w:val="009A2858"/>
    <w:rsid w:val="009A31FD"/>
    <w:rsid w:val="009A3517"/>
    <w:rsid w:val="009A37A6"/>
    <w:rsid w:val="009A3AE4"/>
    <w:rsid w:val="009A3D37"/>
    <w:rsid w:val="009A3FB2"/>
    <w:rsid w:val="009A40C5"/>
    <w:rsid w:val="009A425D"/>
    <w:rsid w:val="009A4D82"/>
    <w:rsid w:val="009A4EEF"/>
    <w:rsid w:val="009A5038"/>
    <w:rsid w:val="009A5648"/>
    <w:rsid w:val="009A56B9"/>
    <w:rsid w:val="009A5B47"/>
    <w:rsid w:val="009A5BE5"/>
    <w:rsid w:val="009A5F66"/>
    <w:rsid w:val="009A6089"/>
    <w:rsid w:val="009A636B"/>
    <w:rsid w:val="009A6A50"/>
    <w:rsid w:val="009A6BCF"/>
    <w:rsid w:val="009A6DD4"/>
    <w:rsid w:val="009A6F7F"/>
    <w:rsid w:val="009A6FD5"/>
    <w:rsid w:val="009A77B9"/>
    <w:rsid w:val="009B035A"/>
    <w:rsid w:val="009B0810"/>
    <w:rsid w:val="009B0B47"/>
    <w:rsid w:val="009B1289"/>
    <w:rsid w:val="009B12D7"/>
    <w:rsid w:val="009B12EC"/>
    <w:rsid w:val="009B1391"/>
    <w:rsid w:val="009B169A"/>
    <w:rsid w:val="009B17DE"/>
    <w:rsid w:val="009B2BD7"/>
    <w:rsid w:val="009B347C"/>
    <w:rsid w:val="009B360B"/>
    <w:rsid w:val="009B3DF8"/>
    <w:rsid w:val="009B451E"/>
    <w:rsid w:val="009B4B94"/>
    <w:rsid w:val="009B4D31"/>
    <w:rsid w:val="009B4F15"/>
    <w:rsid w:val="009B5788"/>
    <w:rsid w:val="009B5794"/>
    <w:rsid w:val="009B5CDC"/>
    <w:rsid w:val="009B5EE2"/>
    <w:rsid w:val="009B6579"/>
    <w:rsid w:val="009B6E36"/>
    <w:rsid w:val="009B6EA9"/>
    <w:rsid w:val="009B704F"/>
    <w:rsid w:val="009B7349"/>
    <w:rsid w:val="009B7372"/>
    <w:rsid w:val="009B73D0"/>
    <w:rsid w:val="009B7B23"/>
    <w:rsid w:val="009B7B6F"/>
    <w:rsid w:val="009B7D4E"/>
    <w:rsid w:val="009B7FDA"/>
    <w:rsid w:val="009C012F"/>
    <w:rsid w:val="009C018A"/>
    <w:rsid w:val="009C0F29"/>
    <w:rsid w:val="009C16A2"/>
    <w:rsid w:val="009C197B"/>
    <w:rsid w:val="009C1B03"/>
    <w:rsid w:val="009C1EC3"/>
    <w:rsid w:val="009C1FEF"/>
    <w:rsid w:val="009C20AF"/>
    <w:rsid w:val="009C210E"/>
    <w:rsid w:val="009C2189"/>
    <w:rsid w:val="009C21FE"/>
    <w:rsid w:val="009C23A5"/>
    <w:rsid w:val="009C289E"/>
    <w:rsid w:val="009C2A26"/>
    <w:rsid w:val="009C2E69"/>
    <w:rsid w:val="009C2E74"/>
    <w:rsid w:val="009C368B"/>
    <w:rsid w:val="009C3B8B"/>
    <w:rsid w:val="009C40E9"/>
    <w:rsid w:val="009C411E"/>
    <w:rsid w:val="009C4257"/>
    <w:rsid w:val="009C45B6"/>
    <w:rsid w:val="009C48FB"/>
    <w:rsid w:val="009C4B57"/>
    <w:rsid w:val="009C4EDF"/>
    <w:rsid w:val="009C4F59"/>
    <w:rsid w:val="009C5081"/>
    <w:rsid w:val="009C536E"/>
    <w:rsid w:val="009C54EB"/>
    <w:rsid w:val="009C55DC"/>
    <w:rsid w:val="009C5859"/>
    <w:rsid w:val="009C5B42"/>
    <w:rsid w:val="009C5E07"/>
    <w:rsid w:val="009C5E74"/>
    <w:rsid w:val="009C5EC5"/>
    <w:rsid w:val="009C6C5C"/>
    <w:rsid w:val="009C6F3C"/>
    <w:rsid w:val="009C6FBE"/>
    <w:rsid w:val="009C70BB"/>
    <w:rsid w:val="009C723C"/>
    <w:rsid w:val="009C77C1"/>
    <w:rsid w:val="009C7865"/>
    <w:rsid w:val="009C7990"/>
    <w:rsid w:val="009D01F6"/>
    <w:rsid w:val="009D06DC"/>
    <w:rsid w:val="009D073C"/>
    <w:rsid w:val="009D0885"/>
    <w:rsid w:val="009D08D6"/>
    <w:rsid w:val="009D0B41"/>
    <w:rsid w:val="009D0EAE"/>
    <w:rsid w:val="009D0F5C"/>
    <w:rsid w:val="009D0F75"/>
    <w:rsid w:val="009D153F"/>
    <w:rsid w:val="009D198E"/>
    <w:rsid w:val="009D1AEA"/>
    <w:rsid w:val="009D1EE1"/>
    <w:rsid w:val="009D1FB6"/>
    <w:rsid w:val="009D229C"/>
    <w:rsid w:val="009D2641"/>
    <w:rsid w:val="009D28C6"/>
    <w:rsid w:val="009D2D97"/>
    <w:rsid w:val="009D2F80"/>
    <w:rsid w:val="009D3833"/>
    <w:rsid w:val="009D3CEC"/>
    <w:rsid w:val="009D3FE3"/>
    <w:rsid w:val="009D4414"/>
    <w:rsid w:val="009D4811"/>
    <w:rsid w:val="009D4930"/>
    <w:rsid w:val="009D49AC"/>
    <w:rsid w:val="009D4A5A"/>
    <w:rsid w:val="009D4FD7"/>
    <w:rsid w:val="009D50AA"/>
    <w:rsid w:val="009D50F0"/>
    <w:rsid w:val="009D5100"/>
    <w:rsid w:val="009D51C8"/>
    <w:rsid w:val="009D5952"/>
    <w:rsid w:val="009D5B41"/>
    <w:rsid w:val="009D5B61"/>
    <w:rsid w:val="009D621D"/>
    <w:rsid w:val="009D66DB"/>
    <w:rsid w:val="009D69F2"/>
    <w:rsid w:val="009D6DD7"/>
    <w:rsid w:val="009D6E08"/>
    <w:rsid w:val="009D6E46"/>
    <w:rsid w:val="009D77BD"/>
    <w:rsid w:val="009D782E"/>
    <w:rsid w:val="009D7986"/>
    <w:rsid w:val="009D7AF0"/>
    <w:rsid w:val="009E0740"/>
    <w:rsid w:val="009E078B"/>
    <w:rsid w:val="009E0923"/>
    <w:rsid w:val="009E0947"/>
    <w:rsid w:val="009E0C26"/>
    <w:rsid w:val="009E0E36"/>
    <w:rsid w:val="009E0F5A"/>
    <w:rsid w:val="009E124A"/>
    <w:rsid w:val="009E1A18"/>
    <w:rsid w:val="009E1A7A"/>
    <w:rsid w:val="009E21C0"/>
    <w:rsid w:val="009E238F"/>
    <w:rsid w:val="009E25FE"/>
    <w:rsid w:val="009E28FC"/>
    <w:rsid w:val="009E300D"/>
    <w:rsid w:val="009E33C4"/>
    <w:rsid w:val="009E37A6"/>
    <w:rsid w:val="009E4DD9"/>
    <w:rsid w:val="009E51CE"/>
    <w:rsid w:val="009E524E"/>
    <w:rsid w:val="009E53E6"/>
    <w:rsid w:val="009E56F8"/>
    <w:rsid w:val="009E5CEE"/>
    <w:rsid w:val="009E5DCB"/>
    <w:rsid w:val="009E5E3D"/>
    <w:rsid w:val="009E64A0"/>
    <w:rsid w:val="009E671B"/>
    <w:rsid w:val="009E6737"/>
    <w:rsid w:val="009E67F4"/>
    <w:rsid w:val="009E6A6E"/>
    <w:rsid w:val="009E6F0D"/>
    <w:rsid w:val="009E6F2B"/>
    <w:rsid w:val="009E702D"/>
    <w:rsid w:val="009E71D2"/>
    <w:rsid w:val="009E7454"/>
    <w:rsid w:val="009E7E25"/>
    <w:rsid w:val="009F0060"/>
    <w:rsid w:val="009F02F2"/>
    <w:rsid w:val="009F042B"/>
    <w:rsid w:val="009F0651"/>
    <w:rsid w:val="009F0C4E"/>
    <w:rsid w:val="009F0FA9"/>
    <w:rsid w:val="009F1035"/>
    <w:rsid w:val="009F104F"/>
    <w:rsid w:val="009F1328"/>
    <w:rsid w:val="009F13DB"/>
    <w:rsid w:val="009F1899"/>
    <w:rsid w:val="009F1F3D"/>
    <w:rsid w:val="009F2381"/>
    <w:rsid w:val="009F254E"/>
    <w:rsid w:val="009F26C1"/>
    <w:rsid w:val="009F271B"/>
    <w:rsid w:val="009F278A"/>
    <w:rsid w:val="009F2BED"/>
    <w:rsid w:val="009F2FB9"/>
    <w:rsid w:val="009F3211"/>
    <w:rsid w:val="009F37C3"/>
    <w:rsid w:val="009F3A6B"/>
    <w:rsid w:val="009F3BA9"/>
    <w:rsid w:val="009F3DF9"/>
    <w:rsid w:val="009F3E2D"/>
    <w:rsid w:val="009F4223"/>
    <w:rsid w:val="009F431F"/>
    <w:rsid w:val="009F4409"/>
    <w:rsid w:val="009F4804"/>
    <w:rsid w:val="009F490C"/>
    <w:rsid w:val="009F4D2F"/>
    <w:rsid w:val="009F4DAC"/>
    <w:rsid w:val="009F4DFF"/>
    <w:rsid w:val="009F4F74"/>
    <w:rsid w:val="009F589C"/>
    <w:rsid w:val="009F59DE"/>
    <w:rsid w:val="009F5B0F"/>
    <w:rsid w:val="009F5D75"/>
    <w:rsid w:val="009F5DEB"/>
    <w:rsid w:val="009F5E37"/>
    <w:rsid w:val="009F65F8"/>
    <w:rsid w:val="009F6E2A"/>
    <w:rsid w:val="009F6EFB"/>
    <w:rsid w:val="009F7037"/>
    <w:rsid w:val="009F733B"/>
    <w:rsid w:val="009F7412"/>
    <w:rsid w:val="009F77B9"/>
    <w:rsid w:val="009F77CF"/>
    <w:rsid w:val="009F7881"/>
    <w:rsid w:val="009F7B62"/>
    <w:rsid w:val="00A00CC0"/>
    <w:rsid w:val="00A00F74"/>
    <w:rsid w:val="00A0143D"/>
    <w:rsid w:val="00A01B1A"/>
    <w:rsid w:val="00A01CDB"/>
    <w:rsid w:val="00A020E6"/>
    <w:rsid w:val="00A025E1"/>
    <w:rsid w:val="00A02986"/>
    <w:rsid w:val="00A02D80"/>
    <w:rsid w:val="00A02F6E"/>
    <w:rsid w:val="00A031CC"/>
    <w:rsid w:val="00A0326B"/>
    <w:rsid w:val="00A0335C"/>
    <w:rsid w:val="00A036BD"/>
    <w:rsid w:val="00A03ADE"/>
    <w:rsid w:val="00A0426B"/>
    <w:rsid w:val="00A0445D"/>
    <w:rsid w:val="00A04C53"/>
    <w:rsid w:val="00A04D84"/>
    <w:rsid w:val="00A0519E"/>
    <w:rsid w:val="00A051B7"/>
    <w:rsid w:val="00A051FD"/>
    <w:rsid w:val="00A05286"/>
    <w:rsid w:val="00A0545B"/>
    <w:rsid w:val="00A0563B"/>
    <w:rsid w:val="00A05857"/>
    <w:rsid w:val="00A05913"/>
    <w:rsid w:val="00A05979"/>
    <w:rsid w:val="00A05A2F"/>
    <w:rsid w:val="00A05A85"/>
    <w:rsid w:val="00A05C52"/>
    <w:rsid w:val="00A05F6F"/>
    <w:rsid w:val="00A0614A"/>
    <w:rsid w:val="00A0683D"/>
    <w:rsid w:val="00A06A12"/>
    <w:rsid w:val="00A075CF"/>
    <w:rsid w:val="00A07730"/>
    <w:rsid w:val="00A1007A"/>
    <w:rsid w:val="00A10260"/>
    <w:rsid w:val="00A10278"/>
    <w:rsid w:val="00A10349"/>
    <w:rsid w:val="00A10404"/>
    <w:rsid w:val="00A10B95"/>
    <w:rsid w:val="00A10DA0"/>
    <w:rsid w:val="00A1107F"/>
    <w:rsid w:val="00A114EC"/>
    <w:rsid w:val="00A115CB"/>
    <w:rsid w:val="00A116D8"/>
    <w:rsid w:val="00A117FC"/>
    <w:rsid w:val="00A117FD"/>
    <w:rsid w:val="00A11C68"/>
    <w:rsid w:val="00A12535"/>
    <w:rsid w:val="00A12746"/>
    <w:rsid w:val="00A12893"/>
    <w:rsid w:val="00A12B7F"/>
    <w:rsid w:val="00A13552"/>
    <w:rsid w:val="00A13758"/>
    <w:rsid w:val="00A13A4E"/>
    <w:rsid w:val="00A13C06"/>
    <w:rsid w:val="00A13C3B"/>
    <w:rsid w:val="00A13DB7"/>
    <w:rsid w:val="00A13EA4"/>
    <w:rsid w:val="00A13F16"/>
    <w:rsid w:val="00A1420E"/>
    <w:rsid w:val="00A146C3"/>
    <w:rsid w:val="00A14714"/>
    <w:rsid w:val="00A1478F"/>
    <w:rsid w:val="00A14B4B"/>
    <w:rsid w:val="00A14EAE"/>
    <w:rsid w:val="00A153CE"/>
    <w:rsid w:val="00A15CBE"/>
    <w:rsid w:val="00A15E70"/>
    <w:rsid w:val="00A15F88"/>
    <w:rsid w:val="00A16022"/>
    <w:rsid w:val="00A16446"/>
    <w:rsid w:val="00A1687D"/>
    <w:rsid w:val="00A16AEE"/>
    <w:rsid w:val="00A16B15"/>
    <w:rsid w:val="00A16C1E"/>
    <w:rsid w:val="00A16C7E"/>
    <w:rsid w:val="00A16DD8"/>
    <w:rsid w:val="00A16EE0"/>
    <w:rsid w:val="00A16F53"/>
    <w:rsid w:val="00A170DC"/>
    <w:rsid w:val="00A17364"/>
    <w:rsid w:val="00A177FD"/>
    <w:rsid w:val="00A17830"/>
    <w:rsid w:val="00A17A0B"/>
    <w:rsid w:val="00A17E97"/>
    <w:rsid w:val="00A17F09"/>
    <w:rsid w:val="00A2037C"/>
    <w:rsid w:val="00A20C06"/>
    <w:rsid w:val="00A2162D"/>
    <w:rsid w:val="00A21D1D"/>
    <w:rsid w:val="00A21DE6"/>
    <w:rsid w:val="00A224B4"/>
    <w:rsid w:val="00A2250A"/>
    <w:rsid w:val="00A227DA"/>
    <w:rsid w:val="00A22902"/>
    <w:rsid w:val="00A2306E"/>
    <w:rsid w:val="00A236E2"/>
    <w:rsid w:val="00A23727"/>
    <w:rsid w:val="00A23CCA"/>
    <w:rsid w:val="00A23E9D"/>
    <w:rsid w:val="00A24BD0"/>
    <w:rsid w:val="00A24CCB"/>
    <w:rsid w:val="00A24D21"/>
    <w:rsid w:val="00A25068"/>
    <w:rsid w:val="00A254F7"/>
    <w:rsid w:val="00A25BA0"/>
    <w:rsid w:val="00A25EAE"/>
    <w:rsid w:val="00A25F3A"/>
    <w:rsid w:val="00A26175"/>
    <w:rsid w:val="00A2638C"/>
    <w:rsid w:val="00A26576"/>
    <w:rsid w:val="00A2673C"/>
    <w:rsid w:val="00A26B9C"/>
    <w:rsid w:val="00A27117"/>
    <w:rsid w:val="00A27320"/>
    <w:rsid w:val="00A277B5"/>
    <w:rsid w:val="00A2795C"/>
    <w:rsid w:val="00A27A75"/>
    <w:rsid w:val="00A27BD4"/>
    <w:rsid w:val="00A27DF5"/>
    <w:rsid w:val="00A301FA"/>
    <w:rsid w:val="00A303DD"/>
    <w:rsid w:val="00A30F0E"/>
    <w:rsid w:val="00A31026"/>
    <w:rsid w:val="00A311AE"/>
    <w:rsid w:val="00A31598"/>
    <w:rsid w:val="00A3162B"/>
    <w:rsid w:val="00A316E3"/>
    <w:rsid w:val="00A31EE2"/>
    <w:rsid w:val="00A321F4"/>
    <w:rsid w:val="00A32300"/>
    <w:rsid w:val="00A323C3"/>
    <w:rsid w:val="00A32B9B"/>
    <w:rsid w:val="00A32CBD"/>
    <w:rsid w:val="00A32E56"/>
    <w:rsid w:val="00A33173"/>
    <w:rsid w:val="00A3339D"/>
    <w:rsid w:val="00A33576"/>
    <w:rsid w:val="00A341E0"/>
    <w:rsid w:val="00A343AD"/>
    <w:rsid w:val="00A343D6"/>
    <w:rsid w:val="00A3441D"/>
    <w:rsid w:val="00A34441"/>
    <w:rsid w:val="00A34851"/>
    <w:rsid w:val="00A3486F"/>
    <w:rsid w:val="00A348AF"/>
    <w:rsid w:val="00A3495C"/>
    <w:rsid w:val="00A34D78"/>
    <w:rsid w:val="00A34F49"/>
    <w:rsid w:val="00A351B9"/>
    <w:rsid w:val="00A351F4"/>
    <w:rsid w:val="00A353DC"/>
    <w:rsid w:val="00A355DD"/>
    <w:rsid w:val="00A35656"/>
    <w:rsid w:val="00A35BE0"/>
    <w:rsid w:val="00A35CAF"/>
    <w:rsid w:val="00A35F8F"/>
    <w:rsid w:val="00A36129"/>
    <w:rsid w:val="00A362BD"/>
    <w:rsid w:val="00A363E6"/>
    <w:rsid w:val="00A36484"/>
    <w:rsid w:val="00A36518"/>
    <w:rsid w:val="00A365DB"/>
    <w:rsid w:val="00A3689D"/>
    <w:rsid w:val="00A36FEC"/>
    <w:rsid w:val="00A37230"/>
    <w:rsid w:val="00A372BC"/>
    <w:rsid w:val="00A373CF"/>
    <w:rsid w:val="00A374A4"/>
    <w:rsid w:val="00A376DF"/>
    <w:rsid w:val="00A3777B"/>
    <w:rsid w:val="00A37862"/>
    <w:rsid w:val="00A37C97"/>
    <w:rsid w:val="00A401A0"/>
    <w:rsid w:val="00A40496"/>
    <w:rsid w:val="00A40701"/>
    <w:rsid w:val="00A4092A"/>
    <w:rsid w:val="00A41137"/>
    <w:rsid w:val="00A41438"/>
    <w:rsid w:val="00A415D7"/>
    <w:rsid w:val="00A4162E"/>
    <w:rsid w:val="00A416AF"/>
    <w:rsid w:val="00A41C54"/>
    <w:rsid w:val="00A41E73"/>
    <w:rsid w:val="00A4218A"/>
    <w:rsid w:val="00A42308"/>
    <w:rsid w:val="00A43176"/>
    <w:rsid w:val="00A434D5"/>
    <w:rsid w:val="00A43516"/>
    <w:rsid w:val="00A43869"/>
    <w:rsid w:val="00A43F67"/>
    <w:rsid w:val="00A44079"/>
    <w:rsid w:val="00A44495"/>
    <w:rsid w:val="00A445B2"/>
    <w:rsid w:val="00A44BEC"/>
    <w:rsid w:val="00A44F62"/>
    <w:rsid w:val="00A45370"/>
    <w:rsid w:val="00A453C1"/>
    <w:rsid w:val="00A45696"/>
    <w:rsid w:val="00A45D2D"/>
    <w:rsid w:val="00A45E1E"/>
    <w:rsid w:val="00A46023"/>
    <w:rsid w:val="00A460EC"/>
    <w:rsid w:val="00A462A2"/>
    <w:rsid w:val="00A46405"/>
    <w:rsid w:val="00A4648D"/>
    <w:rsid w:val="00A46499"/>
    <w:rsid w:val="00A46550"/>
    <w:rsid w:val="00A465AD"/>
    <w:rsid w:val="00A46826"/>
    <w:rsid w:val="00A46D20"/>
    <w:rsid w:val="00A471B3"/>
    <w:rsid w:val="00A4782C"/>
    <w:rsid w:val="00A47EFC"/>
    <w:rsid w:val="00A50075"/>
    <w:rsid w:val="00A50541"/>
    <w:rsid w:val="00A50B15"/>
    <w:rsid w:val="00A50D04"/>
    <w:rsid w:val="00A50E6F"/>
    <w:rsid w:val="00A50ECC"/>
    <w:rsid w:val="00A50FB2"/>
    <w:rsid w:val="00A5123C"/>
    <w:rsid w:val="00A51502"/>
    <w:rsid w:val="00A51C78"/>
    <w:rsid w:val="00A51D47"/>
    <w:rsid w:val="00A5210F"/>
    <w:rsid w:val="00A523DE"/>
    <w:rsid w:val="00A52C1B"/>
    <w:rsid w:val="00A52CD8"/>
    <w:rsid w:val="00A52D40"/>
    <w:rsid w:val="00A532A7"/>
    <w:rsid w:val="00A532D3"/>
    <w:rsid w:val="00A53BD7"/>
    <w:rsid w:val="00A53D95"/>
    <w:rsid w:val="00A53E93"/>
    <w:rsid w:val="00A53F46"/>
    <w:rsid w:val="00A54366"/>
    <w:rsid w:val="00A544DA"/>
    <w:rsid w:val="00A54667"/>
    <w:rsid w:val="00A546E0"/>
    <w:rsid w:val="00A54872"/>
    <w:rsid w:val="00A5492E"/>
    <w:rsid w:val="00A54BBA"/>
    <w:rsid w:val="00A5509B"/>
    <w:rsid w:val="00A55348"/>
    <w:rsid w:val="00A55B83"/>
    <w:rsid w:val="00A55DE5"/>
    <w:rsid w:val="00A55EA2"/>
    <w:rsid w:val="00A55F73"/>
    <w:rsid w:val="00A565EC"/>
    <w:rsid w:val="00A567A5"/>
    <w:rsid w:val="00A56A44"/>
    <w:rsid w:val="00A56F53"/>
    <w:rsid w:val="00A575E1"/>
    <w:rsid w:val="00A5771E"/>
    <w:rsid w:val="00A57735"/>
    <w:rsid w:val="00A57AA7"/>
    <w:rsid w:val="00A57DF2"/>
    <w:rsid w:val="00A6013F"/>
    <w:rsid w:val="00A604E1"/>
    <w:rsid w:val="00A604E7"/>
    <w:rsid w:val="00A60776"/>
    <w:rsid w:val="00A607A0"/>
    <w:rsid w:val="00A609B2"/>
    <w:rsid w:val="00A609F0"/>
    <w:rsid w:val="00A609F7"/>
    <w:rsid w:val="00A60BE8"/>
    <w:rsid w:val="00A60E10"/>
    <w:rsid w:val="00A610FE"/>
    <w:rsid w:val="00A61493"/>
    <w:rsid w:val="00A61583"/>
    <w:rsid w:val="00A617C4"/>
    <w:rsid w:val="00A61BD5"/>
    <w:rsid w:val="00A61DF7"/>
    <w:rsid w:val="00A61EAD"/>
    <w:rsid w:val="00A61FDD"/>
    <w:rsid w:val="00A622F9"/>
    <w:rsid w:val="00A624E9"/>
    <w:rsid w:val="00A624EB"/>
    <w:rsid w:val="00A626C9"/>
    <w:rsid w:val="00A62A6A"/>
    <w:rsid w:val="00A62F7C"/>
    <w:rsid w:val="00A63207"/>
    <w:rsid w:val="00A6321B"/>
    <w:rsid w:val="00A63742"/>
    <w:rsid w:val="00A6391B"/>
    <w:rsid w:val="00A63BFA"/>
    <w:rsid w:val="00A63D60"/>
    <w:rsid w:val="00A64365"/>
    <w:rsid w:val="00A645FA"/>
    <w:rsid w:val="00A6470D"/>
    <w:rsid w:val="00A64731"/>
    <w:rsid w:val="00A647C4"/>
    <w:rsid w:val="00A659F7"/>
    <w:rsid w:val="00A65AEE"/>
    <w:rsid w:val="00A662A5"/>
    <w:rsid w:val="00A663AA"/>
    <w:rsid w:val="00A664C3"/>
    <w:rsid w:val="00A66610"/>
    <w:rsid w:val="00A66780"/>
    <w:rsid w:val="00A6697A"/>
    <w:rsid w:val="00A66A37"/>
    <w:rsid w:val="00A66D08"/>
    <w:rsid w:val="00A67036"/>
    <w:rsid w:val="00A6767A"/>
    <w:rsid w:val="00A67C37"/>
    <w:rsid w:val="00A67DD6"/>
    <w:rsid w:val="00A7014A"/>
    <w:rsid w:val="00A7038B"/>
    <w:rsid w:val="00A709E4"/>
    <w:rsid w:val="00A70B53"/>
    <w:rsid w:val="00A70D64"/>
    <w:rsid w:val="00A71090"/>
    <w:rsid w:val="00A711EC"/>
    <w:rsid w:val="00A712C6"/>
    <w:rsid w:val="00A713F2"/>
    <w:rsid w:val="00A7152C"/>
    <w:rsid w:val="00A7182B"/>
    <w:rsid w:val="00A71D8A"/>
    <w:rsid w:val="00A71FEC"/>
    <w:rsid w:val="00A722CE"/>
    <w:rsid w:val="00A723F4"/>
    <w:rsid w:val="00A724E5"/>
    <w:rsid w:val="00A728C8"/>
    <w:rsid w:val="00A729A7"/>
    <w:rsid w:val="00A72AF1"/>
    <w:rsid w:val="00A72C75"/>
    <w:rsid w:val="00A72D78"/>
    <w:rsid w:val="00A72DBF"/>
    <w:rsid w:val="00A7306F"/>
    <w:rsid w:val="00A735F1"/>
    <w:rsid w:val="00A7367E"/>
    <w:rsid w:val="00A73708"/>
    <w:rsid w:val="00A73D58"/>
    <w:rsid w:val="00A73E1A"/>
    <w:rsid w:val="00A741D0"/>
    <w:rsid w:val="00A747AC"/>
    <w:rsid w:val="00A747C9"/>
    <w:rsid w:val="00A74AA6"/>
    <w:rsid w:val="00A74C68"/>
    <w:rsid w:val="00A74CF2"/>
    <w:rsid w:val="00A74D21"/>
    <w:rsid w:val="00A74E2B"/>
    <w:rsid w:val="00A74E99"/>
    <w:rsid w:val="00A74F9B"/>
    <w:rsid w:val="00A7577D"/>
    <w:rsid w:val="00A75BBE"/>
    <w:rsid w:val="00A75CF7"/>
    <w:rsid w:val="00A75F19"/>
    <w:rsid w:val="00A76072"/>
    <w:rsid w:val="00A76379"/>
    <w:rsid w:val="00A763C1"/>
    <w:rsid w:val="00A76547"/>
    <w:rsid w:val="00A76DFF"/>
    <w:rsid w:val="00A76E44"/>
    <w:rsid w:val="00A7732F"/>
    <w:rsid w:val="00A774C1"/>
    <w:rsid w:val="00A77563"/>
    <w:rsid w:val="00A779F3"/>
    <w:rsid w:val="00A77DF3"/>
    <w:rsid w:val="00A8005B"/>
    <w:rsid w:val="00A80569"/>
    <w:rsid w:val="00A807E3"/>
    <w:rsid w:val="00A80A18"/>
    <w:rsid w:val="00A80ABD"/>
    <w:rsid w:val="00A80B23"/>
    <w:rsid w:val="00A814E8"/>
    <w:rsid w:val="00A81710"/>
    <w:rsid w:val="00A81A35"/>
    <w:rsid w:val="00A81BEA"/>
    <w:rsid w:val="00A81C9E"/>
    <w:rsid w:val="00A81D89"/>
    <w:rsid w:val="00A81F39"/>
    <w:rsid w:val="00A82342"/>
    <w:rsid w:val="00A82668"/>
    <w:rsid w:val="00A8271D"/>
    <w:rsid w:val="00A82B73"/>
    <w:rsid w:val="00A82DB1"/>
    <w:rsid w:val="00A82DC9"/>
    <w:rsid w:val="00A82DD3"/>
    <w:rsid w:val="00A82FB3"/>
    <w:rsid w:val="00A83A7D"/>
    <w:rsid w:val="00A84014"/>
    <w:rsid w:val="00A8445A"/>
    <w:rsid w:val="00A846A2"/>
    <w:rsid w:val="00A847DB"/>
    <w:rsid w:val="00A84A32"/>
    <w:rsid w:val="00A853D0"/>
    <w:rsid w:val="00A8544A"/>
    <w:rsid w:val="00A85C14"/>
    <w:rsid w:val="00A85E90"/>
    <w:rsid w:val="00A860B5"/>
    <w:rsid w:val="00A86D14"/>
    <w:rsid w:val="00A86D86"/>
    <w:rsid w:val="00A871A3"/>
    <w:rsid w:val="00A87A44"/>
    <w:rsid w:val="00A900B3"/>
    <w:rsid w:val="00A9010F"/>
    <w:rsid w:val="00A9031A"/>
    <w:rsid w:val="00A906BF"/>
    <w:rsid w:val="00A90A9A"/>
    <w:rsid w:val="00A910AA"/>
    <w:rsid w:val="00A910E3"/>
    <w:rsid w:val="00A911F0"/>
    <w:rsid w:val="00A9136B"/>
    <w:rsid w:val="00A914BC"/>
    <w:rsid w:val="00A917BF"/>
    <w:rsid w:val="00A91D35"/>
    <w:rsid w:val="00A91E72"/>
    <w:rsid w:val="00A92361"/>
    <w:rsid w:val="00A92491"/>
    <w:rsid w:val="00A92539"/>
    <w:rsid w:val="00A92682"/>
    <w:rsid w:val="00A92AC7"/>
    <w:rsid w:val="00A92B93"/>
    <w:rsid w:val="00A92F1C"/>
    <w:rsid w:val="00A9319A"/>
    <w:rsid w:val="00A936D9"/>
    <w:rsid w:val="00A93786"/>
    <w:rsid w:val="00A937B1"/>
    <w:rsid w:val="00A938E3"/>
    <w:rsid w:val="00A93D55"/>
    <w:rsid w:val="00A9407C"/>
    <w:rsid w:val="00A941B5"/>
    <w:rsid w:val="00A947E5"/>
    <w:rsid w:val="00A94821"/>
    <w:rsid w:val="00A94A9B"/>
    <w:rsid w:val="00A94AEB"/>
    <w:rsid w:val="00A9504A"/>
    <w:rsid w:val="00A952E3"/>
    <w:rsid w:val="00A954B7"/>
    <w:rsid w:val="00A956E0"/>
    <w:rsid w:val="00A95D11"/>
    <w:rsid w:val="00A95FD7"/>
    <w:rsid w:val="00A966A6"/>
    <w:rsid w:val="00A96804"/>
    <w:rsid w:val="00A96A63"/>
    <w:rsid w:val="00A96C04"/>
    <w:rsid w:val="00A96C8E"/>
    <w:rsid w:val="00A97216"/>
    <w:rsid w:val="00A9739B"/>
    <w:rsid w:val="00A976CA"/>
    <w:rsid w:val="00A977A4"/>
    <w:rsid w:val="00A979E4"/>
    <w:rsid w:val="00A97CE8"/>
    <w:rsid w:val="00A97D45"/>
    <w:rsid w:val="00AA0509"/>
    <w:rsid w:val="00AA0665"/>
    <w:rsid w:val="00AA10EF"/>
    <w:rsid w:val="00AA1215"/>
    <w:rsid w:val="00AA1412"/>
    <w:rsid w:val="00AA1537"/>
    <w:rsid w:val="00AA1866"/>
    <w:rsid w:val="00AA192E"/>
    <w:rsid w:val="00AA1D75"/>
    <w:rsid w:val="00AA211E"/>
    <w:rsid w:val="00AA274C"/>
    <w:rsid w:val="00AA2ECC"/>
    <w:rsid w:val="00AA3769"/>
    <w:rsid w:val="00AA3869"/>
    <w:rsid w:val="00AA38AC"/>
    <w:rsid w:val="00AA3AC3"/>
    <w:rsid w:val="00AA3B84"/>
    <w:rsid w:val="00AA3EFD"/>
    <w:rsid w:val="00AA4621"/>
    <w:rsid w:val="00AA4680"/>
    <w:rsid w:val="00AA50CA"/>
    <w:rsid w:val="00AA538D"/>
    <w:rsid w:val="00AA56BD"/>
    <w:rsid w:val="00AA5989"/>
    <w:rsid w:val="00AA59F0"/>
    <w:rsid w:val="00AA5C69"/>
    <w:rsid w:val="00AA63C4"/>
    <w:rsid w:val="00AA6757"/>
    <w:rsid w:val="00AA6B1D"/>
    <w:rsid w:val="00AA76E0"/>
    <w:rsid w:val="00AA787E"/>
    <w:rsid w:val="00AB00E5"/>
    <w:rsid w:val="00AB0155"/>
    <w:rsid w:val="00AB0394"/>
    <w:rsid w:val="00AB06BD"/>
    <w:rsid w:val="00AB06D9"/>
    <w:rsid w:val="00AB0921"/>
    <w:rsid w:val="00AB0AFA"/>
    <w:rsid w:val="00AB0B96"/>
    <w:rsid w:val="00AB0C23"/>
    <w:rsid w:val="00AB0D99"/>
    <w:rsid w:val="00AB0E78"/>
    <w:rsid w:val="00AB1127"/>
    <w:rsid w:val="00AB12AF"/>
    <w:rsid w:val="00AB12D8"/>
    <w:rsid w:val="00AB1633"/>
    <w:rsid w:val="00AB1B2E"/>
    <w:rsid w:val="00AB1B9A"/>
    <w:rsid w:val="00AB1BEB"/>
    <w:rsid w:val="00AB1D9E"/>
    <w:rsid w:val="00AB1DF7"/>
    <w:rsid w:val="00AB2081"/>
    <w:rsid w:val="00AB20A8"/>
    <w:rsid w:val="00AB2217"/>
    <w:rsid w:val="00AB23D3"/>
    <w:rsid w:val="00AB25A4"/>
    <w:rsid w:val="00AB2986"/>
    <w:rsid w:val="00AB2C61"/>
    <w:rsid w:val="00AB2C66"/>
    <w:rsid w:val="00AB2DF0"/>
    <w:rsid w:val="00AB37A9"/>
    <w:rsid w:val="00AB3B71"/>
    <w:rsid w:val="00AB3CE3"/>
    <w:rsid w:val="00AB42BE"/>
    <w:rsid w:val="00AB43CD"/>
    <w:rsid w:val="00AB45F1"/>
    <w:rsid w:val="00AB4B71"/>
    <w:rsid w:val="00AB4BFC"/>
    <w:rsid w:val="00AB4C01"/>
    <w:rsid w:val="00AB4E1F"/>
    <w:rsid w:val="00AB4E3B"/>
    <w:rsid w:val="00AB4E4E"/>
    <w:rsid w:val="00AB4F85"/>
    <w:rsid w:val="00AB5581"/>
    <w:rsid w:val="00AB55D3"/>
    <w:rsid w:val="00AB57E7"/>
    <w:rsid w:val="00AB5852"/>
    <w:rsid w:val="00AB586E"/>
    <w:rsid w:val="00AB5B3A"/>
    <w:rsid w:val="00AB5C1D"/>
    <w:rsid w:val="00AB5E8A"/>
    <w:rsid w:val="00AB5FA6"/>
    <w:rsid w:val="00AB60D6"/>
    <w:rsid w:val="00AB65BD"/>
    <w:rsid w:val="00AB6733"/>
    <w:rsid w:val="00AB67D5"/>
    <w:rsid w:val="00AB699D"/>
    <w:rsid w:val="00AB6CB9"/>
    <w:rsid w:val="00AB6F6D"/>
    <w:rsid w:val="00AB7033"/>
    <w:rsid w:val="00AB798D"/>
    <w:rsid w:val="00AB7CD0"/>
    <w:rsid w:val="00AB7D1B"/>
    <w:rsid w:val="00AB7FCB"/>
    <w:rsid w:val="00AC063E"/>
    <w:rsid w:val="00AC065C"/>
    <w:rsid w:val="00AC09DF"/>
    <w:rsid w:val="00AC0EC0"/>
    <w:rsid w:val="00AC10C4"/>
    <w:rsid w:val="00AC1208"/>
    <w:rsid w:val="00AC172C"/>
    <w:rsid w:val="00AC17DD"/>
    <w:rsid w:val="00AC182D"/>
    <w:rsid w:val="00AC1A40"/>
    <w:rsid w:val="00AC290B"/>
    <w:rsid w:val="00AC2A13"/>
    <w:rsid w:val="00AC2AFE"/>
    <w:rsid w:val="00AC39E3"/>
    <w:rsid w:val="00AC3B30"/>
    <w:rsid w:val="00AC4508"/>
    <w:rsid w:val="00AC4595"/>
    <w:rsid w:val="00AC47B0"/>
    <w:rsid w:val="00AC47D6"/>
    <w:rsid w:val="00AC4E34"/>
    <w:rsid w:val="00AC4F8C"/>
    <w:rsid w:val="00AC50DB"/>
    <w:rsid w:val="00AC5267"/>
    <w:rsid w:val="00AC5AA3"/>
    <w:rsid w:val="00AC5FC2"/>
    <w:rsid w:val="00AC61C4"/>
    <w:rsid w:val="00AC6AA3"/>
    <w:rsid w:val="00AC73AD"/>
    <w:rsid w:val="00AC73C6"/>
    <w:rsid w:val="00AC7A03"/>
    <w:rsid w:val="00AC7AD5"/>
    <w:rsid w:val="00AC7B9E"/>
    <w:rsid w:val="00AC7CCF"/>
    <w:rsid w:val="00AD02A5"/>
    <w:rsid w:val="00AD053C"/>
    <w:rsid w:val="00AD05CE"/>
    <w:rsid w:val="00AD068A"/>
    <w:rsid w:val="00AD0925"/>
    <w:rsid w:val="00AD0D6C"/>
    <w:rsid w:val="00AD0E4C"/>
    <w:rsid w:val="00AD0FB5"/>
    <w:rsid w:val="00AD115E"/>
    <w:rsid w:val="00AD1285"/>
    <w:rsid w:val="00AD1308"/>
    <w:rsid w:val="00AD15AC"/>
    <w:rsid w:val="00AD185B"/>
    <w:rsid w:val="00AD185F"/>
    <w:rsid w:val="00AD18DA"/>
    <w:rsid w:val="00AD1A10"/>
    <w:rsid w:val="00AD1AFC"/>
    <w:rsid w:val="00AD21B7"/>
    <w:rsid w:val="00AD21D0"/>
    <w:rsid w:val="00AD2CB2"/>
    <w:rsid w:val="00AD2F8E"/>
    <w:rsid w:val="00AD3226"/>
    <w:rsid w:val="00AD3228"/>
    <w:rsid w:val="00AD322B"/>
    <w:rsid w:val="00AD32D2"/>
    <w:rsid w:val="00AD3AC0"/>
    <w:rsid w:val="00AD4124"/>
    <w:rsid w:val="00AD412C"/>
    <w:rsid w:val="00AD4215"/>
    <w:rsid w:val="00AD4824"/>
    <w:rsid w:val="00AD4FC1"/>
    <w:rsid w:val="00AD5BED"/>
    <w:rsid w:val="00AD5F57"/>
    <w:rsid w:val="00AD6676"/>
    <w:rsid w:val="00AD6698"/>
    <w:rsid w:val="00AD682D"/>
    <w:rsid w:val="00AD6A37"/>
    <w:rsid w:val="00AD6ED8"/>
    <w:rsid w:val="00AD708D"/>
    <w:rsid w:val="00AD7378"/>
    <w:rsid w:val="00AD7914"/>
    <w:rsid w:val="00AD7967"/>
    <w:rsid w:val="00AD79BE"/>
    <w:rsid w:val="00AD79DA"/>
    <w:rsid w:val="00AD7CEE"/>
    <w:rsid w:val="00AE023E"/>
    <w:rsid w:val="00AE024D"/>
    <w:rsid w:val="00AE029A"/>
    <w:rsid w:val="00AE0368"/>
    <w:rsid w:val="00AE053F"/>
    <w:rsid w:val="00AE07E3"/>
    <w:rsid w:val="00AE084C"/>
    <w:rsid w:val="00AE08EA"/>
    <w:rsid w:val="00AE0B19"/>
    <w:rsid w:val="00AE0B79"/>
    <w:rsid w:val="00AE0B82"/>
    <w:rsid w:val="00AE0BDB"/>
    <w:rsid w:val="00AE0F81"/>
    <w:rsid w:val="00AE0F8C"/>
    <w:rsid w:val="00AE14D4"/>
    <w:rsid w:val="00AE2164"/>
    <w:rsid w:val="00AE231F"/>
    <w:rsid w:val="00AE2AA5"/>
    <w:rsid w:val="00AE2DCE"/>
    <w:rsid w:val="00AE2EA6"/>
    <w:rsid w:val="00AE343A"/>
    <w:rsid w:val="00AE35E5"/>
    <w:rsid w:val="00AE39FB"/>
    <w:rsid w:val="00AE3E9C"/>
    <w:rsid w:val="00AE3FBA"/>
    <w:rsid w:val="00AE4054"/>
    <w:rsid w:val="00AE4117"/>
    <w:rsid w:val="00AE4326"/>
    <w:rsid w:val="00AE435C"/>
    <w:rsid w:val="00AE4CC4"/>
    <w:rsid w:val="00AE5BD4"/>
    <w:rsid w:val="00AE65D3"/>
    <w:rsid w:val="00AE6702"/>
    <w:rsid w:val="00AE6764"/>
    <w:rsid w:val="00AE6D02"/>
    <w:rsid w:val="00AE6F2F"/>
    <w:rsid w:val="00AE6F8F"/>
    <w:rsid w:val="00AE7408"/>
    <w:rsid w:val="00AE7733"/>
    <w:rsid w:val="00AE77B8"/>
    <w:rsid w:val="00AE77DC"/>
    <w:rsid w:val="00AE79E4"/>
    <w:rsid w:val="00AE7F13"/>
    <w:rsid w:val="00AF01C1"/>
    <w:rsid w:val="00AF046F"/>
    <w:rsid w:val="00AF0720"/>
    <w:rsid w:val="00AF075F"/>
    <w:rsid w:val="00AF0AB0"/>
    <w:rsid w:val="00AF0DAE"/>
    <w:rsid w:val="00AF0E02"/>
    <w:rsid w:val="00AF0EE7"/>
    <w:rsid w:val="00AF1363"/>
    <w:rsid w:val="00AF14B9"/>
    <w:rsid w:val="00AF14E4"/>
    <w:rsid w:val="00AF1925"/>
    <w:rsid w:val="00AF196D"/>
    <w:rsid w:val="00AF19F2"/>
    <w:rsid w:val="00AF19F4"/>
    <w:rsid w:val="00AF1BFF"/>
    <w:rsid w:val="00AF1D9D"/>
    <w:rsid w:val="00AF218B"/>
    <w:rsid w:val="00AF2902"/>
    <w:rsid w:val="00AF2AA8"/>
    <w:rsid w:val="00AF2D5B"/>
    <w:rsid w:val="00AF2E79"/>
    <w:rsid w:val="00AF2E91"/>
    <w:rsid w:val="00AF2FDD"/>
    <w:rsid w:val="00AF349A"/>
    <w:rsid w:val="00AF3507"/>
    <w:rsid w:val="00AF3C7E"/>
    <w:rsid w:val="00AF48F1"/>
    <w:rsid w:val="00AF49DB"/>
    <w:rsid w:val="00AF4D01"/>
    <w:rsid w:val="00AF4E73"/>
    <w:rsid w:val="00AF5367"/>
    <w:rsid w:val="00AF552F"/>
    <w:rsid w:val="00AF555E"/>
    <w:rsid w:val="00AF5843"/>
    <w:rsid w:val="00AF5A0E"/>
    <w:rsid w:val="00AF5AE8"/>
    <w:rsid w:val="00AF5B29"/>
    <w:rsid w:val="00AF5B3B"/>
    <w:rsid w:val="00AF5CA3"/>
    <w:rsid w:val="00AF5CFF"/>
    <w:rsid w:val="00AF60B7"/>
    <w:rsid w:val="00AF60BF"/>
    <w:rsid w:val="00AF63A1"/>
    <w:rsid w:val="00AF65A2"/>
    <w:rsid w:val="00AF6AC8"/>
    <w:rsid w:val="00AF6B6D"/>
    <w:rsid w:val="00AF6CB0"/>
    <w:rsid w:val="00AF7771"/>
    <w:rsid w:val="00AF78D2"/>
    <w:rsid w:val="00AF7EE6"/>
    <w:rsid w:val="00B002A1"/>
    <w:rsid w:val="00B00543"/>
    <w:rsid w:val="00B00659"/>
    <w:rsid w:val="00B00B26"/>
    <w:rsid w:val="00B00C43"/>
    <w:rsid w:val="00B010C2"/>
    <w:rsid w:val="00B01756"/>
    <w:rsid w:val="00B01765"/>
    <w:rsid w:val="00B017FA"/>
    <w:rsid w:val="00B018AB"/>
    <w:rsid w:val="00B0191A"/>
    <w:rsid w:val="00B019FC"/>
    <w:rsid w:val="00B01C02"/>
    <w:rsid w:val="00B01CC8"/>
    <w:rsid w:val="00B03206"/>
    <w:rsid w:val="00B03313"/>
    <w:rsid w:val="00B03471"/>
    <w:rsid w:val="00B03B03"/>
    <w:rsid w:val="00B0405E"/>
    <w:rsid w:val="00B04339"/>
    <w:rsid w:val="00B04364"/>
    <w:rsid w:val="00B044B6"/>
    <w:rsid w:val="00B047C7"/>
    <w:rsid w:val="00B049C5"/>
    <w:rsid w:val="00B0501E"/>
    <w:rsid w:val="00B05096"/>
    <w:rsid w:val="00B050FB"/>
    <w:rsid w:val="00B051EF"/>
    <w:rsid w:val="00B056AB"/>
    <w:rsid w:val="00B05A14"/>
    <w:rsid w:val="00B05ABA"/>
    <w:rsid w:val="00B06189"/>
    <w:rsid w:val="00B0624D"/>
    <w:rsid w:val="00B06403"/>
    <w:rsid w:val="00B06430"/>
    <w:rsid w:val="00B066A7"/>
    <w:rsid w:val="00B06C6C"/>
    <w:rsid w:val="00B06D90"/>
    <w:rsid w:val="00B06E0F"/>
    <w:rsid w:val="00B06FB3"/>
    <w:rsid w:val="00B0709E"/>
    <w:rsid w:val="00B07211"/>
    <w:rsid w:val="00B07283"/>
    <w:rsid w:val="00B07900"/>
    <w:rsid w:val="00B07941"/>
    <w:rsid w:val="00B1023C"/>
    <w:rsid w:val="00B10440"/>
    <w:rsid w:val="00B1066E"/>
    <w:rsid w:val="00B10826"/>
    <w:rsid w:val="00B10B06"/>
    <w:rsid w:val="00B11025"/>
    <w:rsid w:val="00B1186F"/>
    <w:rsid w:val="00B11BC5"/>
    <w:rsid w:val="00B1202A"/>
    <w:rsid w:val="00B1253E"/>
    <w:rsid w:val="00B12591"/>
    <w:rsid w:val="00B12AD9"/>
    <w:rsid w:val="00B12F45"/>
    <w:rsid w:val="00B1361B"/>
    <w:rsid w:val="00B13937"/>
    <w:rsid w:val="00B13BCD"/>
    <w:rsid w:val="00B13BF9"/>
    <w:rsid w:val="00B13E8F"/>
    <w:rsid w:val="00B14500"/>
    <w:rsid w:val="00B145C0"/>
    <w:rsid w:val="00B146F7"/>
    <w:rsid w:val="00B1482E"/>
    <w:rsid w:val="00B1499E"/>
    <w:rsid w:val="00B14A15"/>
    <w:rsid w:val="00B15117"/>
    <w:rsid w:val="00B1549D"/>
    <w:rsid w:val="00B15725"/>
    <w:rsid w:val="00B15B35"/>
    <w:rsid w:val="00B16142"/>
    <w:rsid w:val="00B168F7"/>
    <w:rsid w:val="00B16B32"/>
    <w:rsid w:val="00B16DB1"/>
    <w:rsid w:val="00B16F17"/>
    <w:rsid w:val="00B1732C"/>
    <w:rsid w:val="00B17A0A"/>
    <w:rsid w:val="00B17B45"/>
    <w:rsid w:val="00B17BD1"/>
    <w:rsid w:val="00B17BF1"/>
    <w:rsid w:val="00B17FA1"/>
    <w:rsid w:val="00B202D3"/>
    <w:rsid w:val="00B202EE"/>
    <w:rsid w:val="00B2054B"/>
    <w:rsid w:val="00B2058E"/>
    <w:rsid w:val="00B207F5"/>
    <w:rsid w:val="00B209DB"/>
    <w:rsid w:val="00B20C3A"/>
    <w:rsid w:val="00B2156D"/>
    <w:rsid w:val="00B21685"/>
    <w:rsid w:val="00B21B13"/>
    <w:rsid w:val="00B21B29"/>
    <w:rsid w:val="00B21DF8"/>
    <w:rsid w:val="00B21E66"/>
    <w:rsid w:val="00B21F2B"/>
    <w:rsid w:val="00B21FE2"/>
    <w:rsid w:val="00B22383"/>
    <w:rsid w:val="00B22A13"/>
    <w:rsid w:val="00B22A27"/>
    <w:rsid w:val="00B22AAD"/>
    <w:rsid w:val="00B2310B"/>
    <w:rsid w:val="00B23148"/>
    <w:rsid w:val="00B23488"/>
    <w:rsid w:val="00B23644"/>
    <w:rsid w:val="00B236A7"/>
    <w:rsid w:val="00B23816"/>
    <w:rsid w:val="00B2390D"/>
    <w:rsid w:val="00B23BF9"/>
    <w:rsid w:val="00B24013"/>
    <w:rsid w:val="00B24207"/>
    <w:rsid w:val="00B24482"/>
    <w:rsid w:val="00B24817"/>
    <w:rsid w:val="00B2484D"/>
    <w:rsid w:val="00B24949"/>
    <w:rsid w:val="00B24A2A"/>
    <w:rsid w:val="00B24C5A"/>
    <w:rsid w:val="00B24DD7"/>
    <w:rsid w:val="00B25286"/>
    <w:rsid w:val="00B252FE"/>
    <w:rsid w:val="00B254FB"/>
    <w:rsid w:val="00B25816"/>
    <w:rsid w:val="00B25B82"/>
    <w:rsid w:val="00B25BD6"/>
    <w:rsid w:val="00B26079"/>
    <w:rsid w:val="00B263BC"/>
    <w:rsid w:val="00B2667B"/>
    <w:rsid w:val="00B272B1"/>
    <w:rsid w:val="00B274D5"/>
    <w:rsid w:val="00B2754D"/>
    <w:rsid w:val="00B27A9A"/>
    <w:rsid w:val="00B30364"/>
    <w:rsid w:val="00B30606"/>
    <w:rsid w:val="00B309EC"/>
    <w:rsid w:val="00B30C8A"/>
    <w:rsid w:val="00B30C97"/>
    <w:rsid w:val="00B30D26"/>
    <w:rsid w:val="00B30D46"/>
    <w:rsid w:val="00B30DB6"/>
    <w:rsid w:val="00B30ED8"/>
    <w:rsid w:val="00B314CD"/>
    <w:rsid w:val="00B319DB"/>
    <w:rsid w:val="00B31A3B"/>
    <w:rsid w:val="00B31C8B"/>
    <w:rsid w:val="00B32198"/>
    <w:rsid w:val="00B32282"/>
    <w:rsid w:val="00B323E3"/>
    <w:rsid w:val="00B32534"/>
    <w:rsid w:val="00B328F5"/>
    <w:rsid w:val="00B32BC2"/>
    <w:rsid w:val="00B32DC4"/>
    <w:rsid w:val="00B32DC8"/>
    <w:rsid w:val="00B32EB7"/>
    <w:rsid w:val="00B33801"/>
    <w:rsid w:val="00B33F48"/>
    <w:rsid w:val="00B34385"/>
    <w:rsid w:val="00B3439B"/>
    <w:rsid w:val="00B345DD"/>
    <w:rsid w:val="00B34E7D"/>
    <w:rsid w:val="00B34FD3"/>
    <w:rsid w:val="00B3505D"/>
    <w:rsid w:val="00B359F4"/>
    <w:rsid w:val="00B35A38"/>
    <w:rsid w:val="00B35E51"/>
    <w:rsid w:val="00B36277"/>
    <w:rsid w:val="00B363DF"/>
    <w:rsid w:val="00B3700E"/>
    <w:rsid w:val="00B37073"/>
    <w:rsid w:val="00B37448"/>
    <w:rsid w:val="00B3769D"/>
    <w:rsid w:val="00B37E37"/>
    <w:rsid w:val="00B401D7"/>
    <w:rsid w:val="00B4029F"/>
    <w:rsid w:val="00B4069E"/>
    <w:rsid w:val="00B40BCB"/>
    <w:rsid w:val="00B40DDC"/>
    <w:rsid w:val="00B40DEE"/>
    <w:rsid w:val="00B40E85"/>
    <w:rsid w:val="00B40F4D"/>
    <w:rsid w:val="00B416E8"/>
    <w:rsid w:val="00B41726"/>
    <w:rsid w:val="00B418DA"/>
    <w:rsid w:val="00B41C99"/>
    <w:rsid w:val="00B41EAE"/>
    <w:rsid w:val="00B41F5E"/>
    <w:rsid w:val="00B41F89"/>
    <w:rsid w:val="00B41FAF"/>
    <w:rsid w:val="00B41FF4"/>
    <w:rsid w:val="00B42C20"/>
    <w:rsid w:val="00B438FC"/>
    <w:rsid w:val="00B43B4B"/>
    <w:rsid w:val="00B44380"/>
    <w:rsid w:val="00B4447F"/>
    <w:rsid w:val="00B445DD"/>
    <w:rsid w:val="00B447C9"/>
    <w:rsid w:val="00B453DA"/>
    <w:rsid w:val="00B454EE"/>
    <w:rsid w:val="00B4580C"/>
    <w:rsid w:val="00B45C69"/>
    <w:rsid w:val="00B46030"/>
    <w:rsid w:val="00B4613F"/>
    <w:rsid w:val="00B46750"/>
    <w:rsid w:val="00B4685B"/>
    <w:rsid w:val="00B46A92"/>
    <w:rsid w:val="00B46AB3"/>
    <w:rsid w:val="00B46FFF"/>
    <w:rsid w:val="00B47598"/>
    <w:rsid w:val="00B477FA"/>
    <w:rsid w:val="00B47A33"/>
    <w:rsid w:val="00B47BB3"/>
    <w:rsid w:val="00B47E89"/>
    <w:rsid w:val="00B47FEF"/>
    <w:rsid w:val="00B50299"/>
    <w:rsid w:val="00B50597"/>
    <w:rsid w:val="00B50D35"/>
    <w:rsid w:val="00B50E4F"/>
    <w:rsid w:val="00B50F99"/>
    <w:rsid w:val="00B511C9"/>
    <w:rsid w:val="00B51201"/>
    <w:rsid w:val="00B51511"/>
    <w:rsid w:val="00B516B9"/>
    <w:rsid w:val="00B517E2"/>
    <w:rsid w:val="00B51C26"/>
    <w:rsid w:val="00B51FD1"/>
    <w:rsid w:val="00B5236A"/>
    <w:rsid w:val="00B52519"/>
    <w:rsid w:val="00B52533"/>
    <w:rsid w:val="00B525CD"/>
    <w:rsid w:val="00B528E5"/>
    <w:rsid w:val="00B528F0"/>
    <w:rsid w:val="00B52C36"/>
    <w:rsid w:val="00B52FC5"/>
    <w:rsid w:val="00B53176"/>
    <w:rsid w:val="00B5326B"/>
    <w:rsid w:val="00B533AF"/>
    <w:rsid w:val="00B53660"/>
    <w:rsid w:val="00B53CCB"/>
    <w:rsid w:val="00B54204"/>
    <w:rsid w:val="00B543D9"/>
    <w:rsid w:val="00B546B2"/>
    <w:rsid w:val="00B5481A"/>
    <w:rsid w:val="00B54996"/>
    <w:rsid w:val="00B54A5A"/>
    <w:rsid w:val="00B54C24"/>
    <w:rsid w:val="00B54F98"/>
    <w:rsid w:val="00B55061"/>
    <w:rsid w:val="00B55233"/>
    <w:rsid w:val="00B55410"/>
    <w:rsid w:val="00B55B11"/>
    <w:rsid w:val="00B55C0E"/>
    <w:rsid w:val="00B55D8E"/>
    <w:rsid w:val="00B5640F"/>
    <w:rsid w:val="00B5647E"/>
    <w:rsid w:val="00B56764"/>
    <w:rsid w:val="00B56C05"/>
    <w:rsid w:val="00B56EE5"/>
    <w:rsid w:val="00B56F16"/>
    <w:rsid w:val="00B57043"/>
    <w:rsid w:val="00B572F4"/>
    <w:rsid w:val="00B574E7"/>
    <w:rsid w:val="00B57934"/>
    <w:rsid w:val="00B57CBB"/>
    <w:rsid w:val="00B57ECE"/>
    <w:rsid w:val="00B60005"/>
    <w:rsid w:val="00B60014"/>
    <w:rsid w:val="00B6001B"/>
    <w:rsid w:val="00B600E5"/>
    <w:rsid w:val="00B60217"/>
    <w:rsid w:val="00B6037A"/>
    <w:rsid w:val="00B606F5"/>
    <w:rsid w:val="00B60A20"/>
    <w:rsid w:val="00B60A5C"/>
    <w:rsid w:val="00B60C82"/>
    <w:rsid w:val="00B60C9A"/>
    <w:rsid w:val="00B60DD3"/>
    <w:rsid w:val="00B60F79"/>
    <w:rsid w:val="00B61BF1"/>
    <w:rsid w:val="00B61C86"/>
    <w:rsid w:val="00B61EAC"/>
    <w:rsid w:val="00B62246"/>
    <w:rsid w:val="00B6241A"/>
    <w:rsid w:val="00B62431"/>
    <w:rsid w:val="00B624E8"/>
    <w:rsid w:val="00B62837"/>
    <w:rsid w:val="00B62BE1"/>
    <w:rsid w:val="00B62E37"/>
    <w:rsid w:val="00B63042"/>
    <w:rsid w:val="00B63892"/>
    <w:rsid w:val="00B63AC9"/>
    <w:rsid w:val="00B63B38"/>
    <w:rsid w:val="00B63D71"/>
    <w:rsid w:val="00B64145"/>
    <w:rsid w:val="00B6438F"/>
    <w:rsid w:val="00B647BB"/>
    <w:rsid w:val="00B64E2C"/>
    <w:rsid w:val="00B64EF0"/>
    <w:rsid w:val="00B64F22"/>
    <w:rsid w:val="00B64F91"/>
    <w:rsid w:val="00B650F4"/>
    <w:rsid w:val="00B65413"/>
    <w:rsid w:val="00B654A9"/>
    <w:rsid w:val="00B65708"/>
    <w:rsid w:val="00B657B5"/>
    <w:rsid w:val="00B65D56"/>
    <w:rsid w:val="00B66109"/>
    <w:rsid w:val="00B661C7"/>
    <w:rsid w:val="00B6623D"/>
    <w:rsid w:val="00B66318"/>
    <w:rsid w:val="00B663AA"/>
    <w:rsid w:val="00B66645"/>
    <w:rsid w:val="00B66665"/>
    <w:rsid w:val="00B66847"/>
    <w:rsid w:val="00B66A62"/>
    <w:rsid w:val="00B66B7C"/>
    <w:rsid w:val="00B66DEA"/>
    <w:rsid w:val="00B66E32"/>
    <w:rsid w:val="00B66F6A"/>
    <w:rsid w:val="00B66FB9"/>
    <w:rsid w:val="00B67183"/>
    <w:rsid w:val="00B6719E"/>
    <w:rsid w:val="00B6731B"/>
    <w:rsid w:val="00B67485"/>
    <w:rsid w:val="00B67841"/>
    <w:rsid w:val="00B678AD"/>
    <w:rsid w:val="00B67BE4"/>
    <w:rsid w:val="00B67C21"/>
    <w:rsid w:val="00B67C8E"/>
    <w:rsid w:val="00B701BC"/>
    <w:rsid w:val="00B704FF"/>
    <w:rsid w:val="00B70848"/>
    <w:rsid w:val="00B708AF"/>
    <w:rsid w:val="00B708CE"/>
    <w:rsid w:val="00B70A1D"/>
    <w:rsid w:val="00B70A70"/>
    <w:rsid w:val="00B71046"/>
    <w:rsid w:val="00B71160"/>
    <w:rsid w:val="00B71320"/>
    <w:rsid w:val="00B714D5"/>
    <w:rsid w:val="00B714F9"/>
    <w:rsid w:val="00B71684"/>
    <w:rsid w:val="00B718D3"/>
    <w:rsid w:val="00B71A2F"/>
    <w:rsid w:val="00B71D5F"/>
    <w:rsid w:val="00B71D9D"/>
    <w:rsid w:val="00B71F65"/>
    <w:rsid w:val="00B71FF7"/>
    <w:rsid w:val="00B72253"/>
    <w:rsid w:val="00B7230B"/>
    <w:rsid w:val="00B723CE"/>
    <w:rsid w:val="00B72439"/>
    <w:rsid w:val="00B72543"/>
    <w:rsid w:val="00B7274F"/>
    <w:rsid w:val="00B72FA8"/>
    <w:rsid w:val="00B72FCC"/>
    <w:rsid w:val="00B734AB"/>
    <w:rsid w:val="00B734FA"/>
    <w:rsid w:val="00B736CB"/>
    <w:rsid w:val="00B739D4"/>
    <w:rsid w:val="00B73EEA"/>
    <w:rsid w:val="00B7481A"/>
    <w:rsid w:val="00B748CE"/>
    <w:rsid w:val="00B749FA"/>
    <w:rsid w:val="00B74EC0"/>
    <w:rsid w:val="00B74F27"/>
    <w:rsid w:val="00B7532E"/>
    <w:rsid w:val="00B7569D"/>
    <w:rsid w:val="00B758D7"/>
    <w:rsid w:val="00B767B2"/>
    <w:rsid w:val="00B7683A"/>
    <w:rsid w:val="00B768B3"/>
    <w:rsid w:val="00B76A13"/>
    <w:rsid w:val="00B76E23"/>
    <w:rsid w:val="00B76E31"/>
    <w:rsid w:val="00B77206"/>
    <w:rsid w:val="00B7733E"/>
    <w:rsid w:val="00B77428"/>
    <w:rsid w:val="00B7752C"/>
    <w:rsid w:val="00B776AD"/>
    <w:rsid w:val="00B77B6A"/>
    <w:rsid w:val="00B77BCB"/>
    <w:rsid w:val="00B80186"/>
    <w:rsid w:val="00B80271"/>
    <w:rsid w:val="00B80283"/>
    <w:rsid w:val="00B8066B"/>
    <w:rsid w:val="00B806C5"/>
    <w:rsid w:val="00B80D8C"/>
    <w:rsid w:val="00B811F2"/>
    <w:rsid w:val="00B816F1"/>
    <w:rsid w:val="00B8179B"/>
    <w:rsid w:val="00B81AE1"/>
    <w:rsid w:val="00B8236F"/>
    <w:rsid w:val="00B82446"/>
    <w:rsid w:val="00B8253E"/>
    <w:rsid w:val="00B82673"/>
    <w:rsid w:val="00B82AF0"/>
    <w:rsid w:val="00B830BE"/>
    <w:rsid w:val="00B83121"/>
    <w:rsid w:val="00B83592"/>
    <w:rsid w:val="00B83ABA"/>
    <w:rsid w:val="00B83C3F"/>
    <w:rsid w:val="00B83C9B"/>
    <w:rsid w:val="00B83E2F"/>
    <w:rsid w:val="00B84477"/>
    <w:rsid w:val="00B84598"/>
    <w:rsid w:val="00B845F0"/>
    <w:rsid w:val="00B84786"/>
    <w:rsid w:val="00B847BB"/>
    <w:rsid w:val="00B847D2"/>
    <w:rsid w:val="00B848FB"/>
    <w:rsid w:val="00B84A7B"/>
    <w:rsid w:val="00B850CF"/>
    <w:rsid w:val="00B850E0"/>
    <w:rsid w:val="00B8533A"/>
    <w:rsid w:val="00B8533C"/>
    <w:rsid w:val="00B854FE"/>
    <w:rsid w:val="00B855B1"/>
    <w:rsid w:val="00B859F9"/>
    <w:rsid w:val="00B85CB2"/>
    <w:rsid w:val="00B85EBF"/>
    <w:rsid w:val="00B85F39"/>
    <w:rsid w:val="00B860B0"/>
    <w:rsid w:val="00B86213"/>
    <w:rsid w:val="00B86517"/>
    <w:rsid w:val="00B865C4"/>
    <w:rsid w:val="00B87035"/>
    <w:rsid w:val="00B87291"/>
    <w:rsid w:val="00B876ED"/>
    <w:rsid w:val="00B87E27"/>
    <w:rsid w:val="00B9055F"/>
    <w:rsid w:val="00B9063D"/>
    <w:rsid w:val="00B90707"/>
    <w:rsid w:val="00B9074C"/>
    <w:rsid w:val="00B90AE7"/>
    <w:rsid w:val="00B90C59"/>
    <w:rsid w:val="00B91071"/>
    <w:rsid w:val="00B91189"/>
    <w:rsid w:val="00B9131E"/>
    <w:rsid w:val="00B9149D"/>
    <w:rsid w:val="00B918B9"/>
    <w:rsid w:val="00B9191D"/>
    <w:rsid w:val="00B91955"/>
    <w:rsid w:val="00B919DE"/>
    <w:rsid w:val="00B91BF2"/>
    <w:rsid w:val="00B92093"/>
    <w:rsid w:val="00B928A4"/>
    <w:rsid w:val="00B92D7E"/>
    <w:rsid w:val="00B93050"/>
    <w:rsid w:val="00B933E0"/>
    <w:rsid w:val="00B93477"/>
    <w:rsid w:val="00B938B9"/>
    <w:rsid w:val="00B93B28"/>
    <w:rsid w:val="00B93DFE"/>
    <w:rsid w:val="00B94067"/>
    <w:rsid w:val="00B940E8"/>
    <w:rsid w:val="00B94433"/>
    <w:rsid w:val="00B94500"/>
    <w:rsid w:val="00B948C5"/>
    <w:rsid w:val="00B949E3"/>
    <w:rsid w:val="00B94A1E"/>
    <w:rsid w:val="00B95052"/>
    <w:rsid w:val="00B953C2"/>
    <w:rsid w:val="00B953DB"/>
    <w:rsid w:val="00B955BA"/>
    <w:rsid w:val="00B957A3"/>
    <w:rsid w:val="00B95800"/>
    <w:rsid w:val="00B9588F"/>
    <w:rsid w:val="00B958FF"/>
    <w:rsid w:val="00B959A1"/>
    <w:rsid w:val="00B95A76"/>
    <w:rsid w:val="00B960E8"/>
    <w:rsid w:val="00B96214"/>
    <w:rsid w:val="00B96382"/>
    <w:rsid w:val="00B96594"/>
    <w:rsid w:val="00B9694E"/>
    <w:rsid w:val="00B96C73"/>
    <w:rsid w:val="00B96C77"/>
    <w:rsid w:val="00B96C91"/>
    <w:rsid w:val="00B96F56"/>
    <w:rsid w:val="00B9771B"/>
    <w:rsid w:val="00BA01F2"/>
    <w:rsid w:val="00BA050E"/>
    <w:rsid w:val="00BA086B"/>
    <w:rsid w:val="00BA0B0A"/>
    <w:rsid w:val="00BA0B2B"/>
    <w:rsid w:val="00BA0B46"/>
    <w:rsid w:val="00BA0CEA"/>
    <w:rsid w:val="00BA0D10"/>
    <w:rsid w:val="00BA0D99"/>
    <w:rsid w:val="00BA0E37"/>
    <w:rsid w:val="00BA0FC8"/>
    <w:rsid w:val="00BA1010"/>
    <w:rsid w:val="00BA109A"/>
    <w:rsid w:val="00BA10B7"/>
    <w:rsid w:val="00BA10F6"/>
    <w:rsid w:val="00BA1549"/>
    <w:rsid w:val="00BA17E0"/>
    <w:rsid w:val="00BA1B70"/>
    <w:rsid w:val="00BA2240"/>
    <w:rsid w:val="00BA2633"/>
    <w:rsid w:val="00BA27C2"/>
    <w:rsid w:val="00BA2A69"/>
    <w:rsid w:val="00BA2DBC"/>
    <w:rsid w:val="00BA3030"/>
    <w:rsid w:val="00BA3430"/>
    <w:rsid w:val="00BA358F"/>
    <w:rsid w:val="00BA35E1"/>
    <w:rsid w:val="00BA42D1"/>
    <w:rsid w:val="00BA4AF7"/>
    <w:rsid w:val="00BA4BB1"/>
    <w:rsid w:val="00BA4BBF"/>
    <w:rsid w:val="00BA4E47"/>
    <w:rsid w:val="00BA4E95"/>
    <w:rsid w:val="00BA5002"/>
    <w:rsid w:val="00BA50A7"/>
    <w:rsid w:val="00BA51EE"/>
    <w:rsid w:val="00BA5F1E"/>
    <w:rsid w:val="00BA601F"/>
    <w:rsid w:val="00BA64BB"/>
    <w:rsid w:val="00BA6701"/>
    <w:rsid w:val="00BA67EF"/>
    <w:rsid w:val="00BA6869"/>
    <w:rsid w:val="00BA6E8A"/>
    <w:rsid w:val="00BA6F97"/>
    <w:rsid w:val="00BA7466"/>
    <w:rsid w:val="00BA783A"/>
    <w:rsid w:val="00BB0370"/>
    <w:rsid w:val="00BB0D6E"/>
    <w:rsid w:val="00BB0E0E"/>
    <w:rsid w:val="00BB133D"/>
    <w:rsid w:val="00BB176B"/>
    <w:rsid w:val="00BB184B"/>
    <w:rsid w:val="00BB18D1"/>
    <w:rsid w:val="00BB1B8E"/>
    <w:rsid w:val="00BB1C5B"/>
    <w:rsid w:val="00BB1C63"/>
    <w:rsid w:val="00BB1DF6"/>
    <w:rsid w:val="00BB2433"/>
    <w:rsid w:val="00BB276A"/>
    <w:rsid w:val="00BB28A5"/>
    <w:rsid w:val="00BB2E9E"/>
    <w:rsid w:val="00BB3210"/>
    <w:rsid w:val="00BB32EE"/>
    <w:rsid w:val="00BB3829"/>
    <w:rsid w:val="00BB392F"/>
    <w:rsid w:val="00BB3BBF"/>
    <w:rsid w:val="00BB4204"/>
    <w:rsid w:val="00BB454B"/>
    <w:rsid w:val="00BB4685"/>
    <w:rsid w:val="00BB4B72"/>
    <w:rsid w:val="00BB520B"/>
    <w:rsid w:val="00BB5467"/>
    <w:rsid w:val="00BB54CA"/>
    <w:rsid w:val="00BB5977"/>
    <w:rsid w:val="00BB5A4D"/>
    <w:rsid w:val="00BB5B30"/>
    <w:rsid w:val="00BB5BF7"/>
    <w:rsid w:val="00BB638B"/>
    <w:rsid w:val="00BB6EF3"/>
    <w:rsid w:val="00BB7187"/>
    <w:rsid w:val="00BB72D4"/>
    <w:rsid w:val="00BB74C4"/>
    <w:rsid w:val="00BB7993"/>
    <w:rsid w:val="00BB7ED5"/>
    <w:rsid w:val="00BB7F20"/>
    <w:rsid w:val="00BC01FE"/>
    <w:rsid w:val="00BC07E5"/>
    <w:rsid w:val="00BC093F"/>
    <w:rsid w:val="00BC1372"/>
    <w:rsid w:val="00BC16B3"/>
    <w:rsid w:val="00BC1A65"/>
    <w:rsid w:val="00BC1B42"/>
    <w:rsid w:val="00BC1F6E"/>
    <w:rsid w:val="00BC2135"/>
    <w:rsid w:val="00BC2226"/>
    <w:rsid w:val="00BC256D"/>
    <w:rsid w:val="00BC2B7F"/>
    <w:rsid w:val="00BC303D"/>
    <w:rsid w:val="00BC3198"/>
    <w:rsid w:val="00BC3259"/>
    <w:rsid w:val="00BC3751"/>
    <w:rsid w:val="00BC37C6"/>
    <w:rsid w:val="00BC38B0"/>
    <w:rsid w:val="00BC3B50"/>
    <w:rsid w:val="00BC3FB3"/>
    <w:rsid w:val="00BC412E"/>
    <w:rsid w:val="00BC4764"/>
    <w:rsid w:val="00BC4904"/>
    <w:rsid w:val="00BC4B80"/>
    <w:rsid w:val="00BC5052"/>
    <w:rsid w:val="00BC5597"/>
    <w:rsid w:val="00BC56D8"/>
    <w:rsid w:val="00BC5BA6"/>
    <w:rsid w:val="00BC5FBC"/>
    <w:rsid w:val="00BC61CF"/>
    <w:rsid w:val="00BC636C"/>
    <w:rsid w:val="00BC689B"/>
    <w:rsid w:val="00BC6926"/>
    <w:rsid w:val="00BC6977"/>
    <w:rsid w:val="00BC6E8D"/>
    <w:rsid w:val="00BC7245"/>
    <w:rsid w:val="00BC7332"/>
    <w:rsid w:val="00BC7762"/>
    <w:rsid w:val="00BC7952"/>
    <w:rsid w:val="00BC7B5F"/>
    <w:rsid w:val="00BC7E73"/>
    <w:rsid w:val="00BC7EE9"/>
    <w:rsid w:val="00BC7FA9"/>
    <w:rsid w:val="00BD052A"/>
    <w:rsid w:val="00BD052C"/>
    <w:rsid w:val="00BD0590"/>
    <w:rsid w:val="00BD0AFF"/>
    <w:rsid w:val="00BD15AD"/>
    <w:rsid w:val="00BD175D"/>
    <w:rsid w:val="00BD1786"/>
    <w:rsid w:val="00BD1806"/>
    <w:rsid w:val="00BD18B2"/>
    <w:rsid w:val="00BD1A0F"/>
    <w:rsid w:val="00BD1C8F"/>
    <w:rsid w:val="00BD1E7B"/>
    <w:rsid w:val="00BD2030"/>
    <w:rsid w:val="00BD2189"/>
    <w:rsid w:val="00BD2597"/>
    <w:rsid w:val="00BD283B"/>
    <w:rsid w:val="00BD2842"/>
    <w:rsid w:val="00BD29D6"/>
    <w:rsid w:val="00BD2AC6"/>
    <w:rsid w:val="00BD2B57"/>
    <w:rsid w:val="00BD2E06"/>
    <w:rsid w:val="00BD32DA"/>
    <w:rsid w:val="00BD367D"/>
    <w:rsid w:val="00BD379F"/>
    <w:rsid w:val="00BD3A4E"/>
    <w:rsid w:val="00BD3FD1"/>
    <w:rsid w:val="00BD43CE"/>
    <w:rsid w:val="00BD44FA"/>
    <w:rsid w:val="00BD475D"/>
    <w:rsid w:val="00BD4E76"/>
    <w:rsid w:val="00BD52A9"/>
    <w:rsid w:val="00BD5395"/>
    <w:rsid w:val="00BD5E8F"/>
    <w:rsid w:val="00BD5FEB"/>
    <w:rsid w:val="00BD6115"/>
    <w:rsid w:val="00BD617C"/>
    <w:rsid w:val="00BD61DE"/>
    <w:rsid w:val="00BD69A2"/>
    <w:rsid w:val="00BD6D73"/>
    <w:rsid w:val="00BD6E4E"/>
    <w:rsid w:val="00BD6F60"/>
    <w:rsid w:val="00BD6FEE"/>
    <w:rsid w:val="00BD7387"/>
    <w:rsid w:val="00BD7AE8"/>
    <w:rsid w:val="00BD7B88"/>
    <w:rsid w:val="00BD7BBD"/>
    <w:rsid w:val="00BD7C55"/>
    <w:rsid w:val="00BD7F1E"/>
    <w:rsid w:val="00BE002A"/>
    <w:rsid w:val="00BE067D"/>
    <w:rsid w:val="00BE0A0E"/>
    <w:rsid w:val="00BE0B68"/>
    <w:rsid w:val="00BE112D"/>
    <w:rsid w:val="00BE1A33"/>
    <w:rsid w:val="00BE1BD6"/>
    <w:rsid w:val="00BE2003"/>
    <w:rsid w:val="00BE220D"/>
    <w:rsid w:val="00BE2212"/>
    <w:rsid w:val="00BE238C"/>
    <w:rsid w:val="00BE2516"/>
    <w:rsid w:val="00BE2768"/>
    <w:rsid w:val="00BE2E31"/>
    <w:rsid w:val="00BE2F54"/>
    <w:rsid w:val="00BE3123"/>
    <w:rsid w:val="00BE32B4"/>
    <w:rsid w:val="00BE3319"/>
    <w:rsid w:val="00BE3421"/>
    <w:rsid w:val="00BE3C63"/>
    <w:rsid w:val="00BE3C93"/>
    <w:rsid w:val="00BE3ED5"/>
    <w:rsid w:val="00BE4217"/>
    <w:rsid w:val="00BE48BF"/>
    <w:rsid w:val="00BE4AC9"/>
    <w:rsid w:val="00BE4B14"/>
    <w:rsid w:val="00BE5031"/>
    <w:rsid w:val="00BE5042"/>
    <w:rsid w:val="00BE5313"/>
    <w:rsid w:val="00BE5351"/>
    <w:rsid w:val="00BE552D"/>
    <w:rsid w:val="00BE560F"/>
    <w:rsid w:val="00BE57D9"/>
    <w:rsid w:val="00BE58E5"/>
    <w:rsid w:val="00BE5A12"/>
    <w:rsid w:val="00BE5BDB"/>
    <w:rsid w:val="00BE5DA5"/>
    <w:rsid w:val="00BE5DC0"/>
    <w:rsid w:val="00BE684B"/>
    <w:rsid w:val="00BE693A"/>
    <w:rsid w:val="00BE6C43"/>
    <w:rsid w:val="00BE6C79"/>
    <w:rsid w:val="00BE6ECF"/>
    <w:rsid w:val="00BE7127"/>
    <w:rsid w:val="00BE72BC"/>
    <w:rsid w:val="00BE77FF"/>
    <w:rsid w:val="00BE7A74"/>
    <w:rsid w:val="00BE7B0A"/>
    <w:rsid w:val="00BE7C2E"/>
    <w:rsid w:val="00BE7DA2"/>
    <w:rsid w:val="00BF09DC"/>
    <w:rsid w:val="00BF0B15"/>
    <w:rsid w:val="00BF0D95"/>
    <w:rsid w:val="00BF0DC4"/>
    <w:rsid w:val="00BF0F94"/>
    <w:rsid w:val="00BF136A"/>
    <w:rsid w:val="00BF140C"/>
    <w:rsid w:val="00BF151F"/>
    <w:rsid w:val="00BF1856"/>
    <w:rsid w:val="00BF18EE"/>
    <w:rsid w:val="00BF19A2"/>
    <w:rsid w:val="00BF1C8B"/>
    <w:rsid w:val="00BF1EEE"/>
    <w:rsid w:val="00BF2055"/>
    <w:rsid w:val="00BF22A4"/>
    <w:rsid w:val="00BF2A58"/>
    <w:rsid w:val="00BF2D38"/>
    <w:rsid w:val="00BF3147"/>
    <w:rsid w:val="00BF33F2"/>
    <w:rsid w:val="00BF3441"/>
    <w:rsid w:val="00BF417B"/>
    <w:rsid w:val="00BF4233"/>
    <w:rsid w:val="00BF4A0F"/>
    <w:rsid w:val="00BF4A1A"/>
    <w:rsid w:val="00BF4ABC"/>
    <w:rsid w:val="00BF4C0B"/>
    <w:rsid w:val="00BF4F1F"/>
    <w:rsid w:val="00BF5199"/>
    <w:rsid w:val="00BF5443"/>
    <w:rsid w:val="00BF57AA"/>
    <w:rsid w:val="00BF59D1"/>
    <w:rsid w:val="00BF6334"/>
    <w:rsid w:val="00BF63C6"/>
    <w:rsid w:val="00BF6621"/>
    <w:rsid w:val="00BF6682"/>
    <w:rsid w:val="00BF690F"/>
    <w:rsid w:val="00BF6A53"/>
    <w:rsid w:val="00BF6AD3"/>
    <w:rsid w:val="00BF6BA2"/>
    <w:rsid w:val="00BF73A7"/>
    <w:rsid w:val="00BF7CB1"/>
    <w:rsid w:val="00BF7D0D"/>
    <w:rsid w:val="00BF7EB0"/>
    <w:rsid w:val="00C00870"/>
    <w:rsid w:val="00C009BB"/>
    <w:rsid w:val="00C0107E"/>
    <w:rsid w:val="00C0159E"/>
    <w:rsid w:val="00C0162B"/>
    <w:rsid w:val="00C02088"/>
    <w:rsid w:val="00C0236D"/>
    <w:rsid w:val="00C02436"/>
    <w:rsid w:val="00C0259D"/>
    <w:rsid w:val="00C026C7"/>
    <w:rsid w:val="00C0276A"/>
    <w:rsid w:val="00C027CB"/>
    <w:rsid w:val="00C02FF1"/>
    <w:rsid w:val="00C03258"/>
    <w:rsid w:val="00C03592"/>
    <w:rsid w:val="00C03A04"/>
    <w:rsid w:val="00C03A24"/>
    <w:rsid w:val="00C03AA1"/>
    <w:rsid w:val="00C03D47"/>
    <w:rsid w:val="00C04198"/>
    <w:rsid w:val="00C04399"/>
    <w:rsid w:val="00C04676"/>
    <w:rsid w:val="00C04752"/>
    <w:rsid w:val="00C04F10"/>
    <w:rsid w:val="00C04FF6"/>
    <w:rsid w:val="00C0518C"/>
    <w:rsid w:val="00C05230"/>
    <w:rsid w:val="00C05934"/>
    <w:rsid w:val="00C05F55"/>
    <w:rsid w:val="00C06030"/>
    <w:rsid w:val="00C061DC"/>
    <w:rsid w:val="00C062E6"/>
    <w:rsid w:val="00C06416"/>
    <w:rsid w:val="00C067F4"/>
    <w:rsid w:val="00C068F6"/>
    <w:rsid w:val="00C06A57"/>
    <w:rsid w:val="00C06B7E"/>
    <w:rsid w:val="00C06D5F"/>
    <w:rsid w:val="00C06E78"/>
    <w:rsid w:val="00C06F12"/>
    <w:rsid w:val="00C07CCC"/>
    <w:rsid w:val="00C07EA4"/>
    <w:rsid w:val="00C101A3"/>
    <w:rsid w:val="00C101DA"/>
    <w:rsid w:val="00C10502"/>
    <w:rsid w:val="00C10567"/>
    <w:rsid w:val="00C10835"/>
    <w:rsid w:val="00C10C6E"/>
    <w:rsid w:val="00C11101"/>
    <w:rsid w:val="00C111A5"/>
    <w:rsid w:val="00C11293"/>
    <w:rsid w:val="00C11607"/>
    <w:rsid w:val="00C119F4"/>
    <w:rsid w:val="00C11C34"/>
    <w:rsid w:val="00C11F06"/>
    <w:rsid w:val="00C11F97"/>
    <w:rsid w:val="00C1248D"/>
    <w:rsid w:val="00C1288F"/>
    <w:rsid w:val="00C129B0"/>
    <w:rsid w:val="00C12AAF"/>
    <w:rsid w:val="00C12E2C"/>
    <w:rsid w:val="00C12EFA"/>
    <w:rsid w:val="00C132B3"/>
    <w:rsid w:val="00C13533"/>
    <w:rsid w:val="00C1397E"/>
    <w:rsid w:val="00C1399E"/>
    <w:rsid w:val="00C139B3"/>
    <w:rsid w:val="00C14175"/>
    <w:rsid w:val="00C1468D"/>
    <w:rsid w:val="00C14714"/>
    <w:rsid w:val="00C14DD9"/>
    <w:rsid w:val="00C14E3A"/>
    <w:rsid w:val="00C150E4"/>
    <w:rsid w:val="00C15443"/>
    <w:rsid w:val="00C15542"/>
    <w:rsid w:val="00C157DF"/>
    <w:rsid w:val="00C1585A"/>
    <w:rsid w:val="00C15BC4"/>
    <w:rsid w:val="00C15C7A"/>
    <w:rsid w:val="00C15CA0"/>
    <w:rsid w:val="00C16564"/>
    <w:rsid w:val="00C16620"/>
    <w:rsid w:val="00C16DE3"/>
    <w:rsid w:val="00C171E2"/>
    <w:rsid w:val="00C17414"/>
    <w:rsid w:val="00C17967"/>
    <w:rsid w:val="00C17AF8"/>
    <w:rsid w:val="00C2006D"/>
    <w:rsid w:val="00C205D4"/>
    <w:rsid w:val="00C206BA"/>
    <w:rsid w:val="00C20728"/>
    <w:rsid w:val="00C2092B"/>
    <w:rsid w:val="00C2095E"/>
    <w:rsid w:val="00C20A60"/>
    <w:rsid w:val="00C20BB4"/>
    <w:rsid w:val="00C20D96"/>
    <w:rsid w:val="00C20ECE"/>
    <w:rsid w:val="00C20F1E"/>
    <w:rsid w:val="00C2128E"/>
    <w:rsid w:val="00C21512"/>
    <w:rsid w:val="00C21768"/>
    <w:rsid w:val="00C21CB3"/>
    <w:rsid w:val="00C21D7E"/>
    <w:rsid w:val="00C21FF0"/>
    <w:rsid w:val="00C22214"/>
    <w:rsid w:val="00C222DD"/>
    <w:rsid w:val="00C225E7"/>
    <w:rsid w:val="00C22667"/>
    <w:rsid w:val="00C228DF"/>
    <w:rsid w:val="00C22E43"/>
    <w:rsid w:val="00C22ED7"/>
    <w:rsid w:val="00C22F38"/>
    <w:rsid w:val="00C2316E"/>
    <w:rsid w:val="00C23230"/>
    <w:rsid w:val="00C23D9C"/>
    <w:rsid w:val="00C24397"/>
    <w:rsid w:val="00C244D8"/>
    <w:rsid w:val="00C2458C"/>
    <w:rsid w:val="00C24638"/>
    <w:rsid w:val="00C247BF"/>
    <w:rsid w:val="00C24803"/>
    <w:rsid w:val="00C2516E"/>
    <w:rsid w:val="00C25492"/>
    <w:rsid w:val="00C25787"/>
    <w:rsid w:val="00C257E5"/>
    <w:rsid w:val="00C25943"/>
    <w:rsid w:val="00C25CE0"/>
    <w:rsid w:val="00C25CF0"/>
    <w:rsid w:val="00C260EF"/>
    <w:rsid w:val="00C26412"/>
    <w:rsid w:val="00C265ED"/>
    <w:rsid w:val="00C2663C"/>
    <w:rsid w:val="00C2670E"/>
    <w:rsid w:val="00C26779"/>
    <w:rsid w:val="00C268C7"/>
    <w:rsid w:val="00C26954"/>
    <w:rsid w:val="00C26F74"/>
    <w:rsid w:val="00C273E9"/>
    <w:rsid w:val="00C27533"/>
    <w:rsid w:val="00C27848"/>
    <w:rsid w:val="00C27D1C"/>
    <w:rsid w:val="00C27D91"/>
    <w:rsid w:val="00C27E9F"/>
    <w:rsid w:val="00C30192"/>
    <w:rsid w:val="00C304EF"/>
    <w:rsid w:val="00C3053F"/>
    <w:rsid w:val="00C306D8"/>
    <w:rsid w:val="00C3080E"/>
    <w:rsid w:val="00C30A36"/>
    <w:rsid w:val="00C30AA6"/>
    <w:rsid w:val="00C3100F"/>
    <w:rsid w:val="00C31232"/>
    <w:rsid w:val="00C31256"/>
    <w:rsid w:val="00C3145C"/>
    <w:rsid w:val="00C314D0"/>
    <w:rsid w:val="00C315B6"/>
    <w:rsid w:val="00C31753"/>
    <w:rsid w:val="00C31913"/>
    <w:rsid w:val="00C319C1"/>
    <w:rsid w:val="00C31C33"/>
    <w:rsid w:val="00C31F0A"/>
    <w:rsid w:val="00C3204D"/>
    <w:rsid w:val="00C320CD"/>
    <w:rsid w:val="00C3213F"/>
    <w:rsid w:val="00C32259"/>
    <w:rsid w:val="00C323AE"/>
    <w:rsid w:val="00C32830"/>
    <w:rsid w:val="00C32839"/>
    <w:rsid w:val="00C328A5"/>
    <w:rsid w:val="00C3299C"/>
    <w:rsid w:val="00C33B0C"/>
    <w:rsid w:val="00C33CE3"/>
    <w:rsid w:val="00C33CF9"/>
    <w:rsid w:val="00C33F1F"/>
    <w:rsid w:val="00C33F54"/>
    <w:rsid w:val="00C3404E"/>
    <w:rsid w:val="00C3441E"/>
    <w:rsid w:val="00C344D4"/>
    <w:rsid w:val="00C345B8"/>
    <w:rsid w:val="00C34825"/>
    <w:rsid w:val="00C34910"/>
    <w:rsid w:val="00C34B04"/>
    <w:rsid w:val="00C34B63"/>
    <w:rsid w:val="00C358FE"/>
    <w:rsid w:val="00C35975"/>
    <w:rsid w:val="00C35B95"/>
    <w:rsid w:val="00C35CDA"/>
    <w:rsid w:val="00C35D30"/>
    <w:rsid w:val="00C36201"/>
    <w:rsid w:val="00C36C30"/>
    <w:rsid w:val="00C36D0B"/>
    <w:rsid w:val="00C36E11"/>
    <w:rsid w:val="00C37102"/>
    <w:rsid w:val="00C374A4"/>
    <w:rsid w:val="00C375CF"/>
    <w:rsid w:val="00C3769F"/>
    <w:rsid w:val="00C37774"/>
    <w:rsid w:val="00C378D3"/>
    <w:rsid w:val="00C37C5A"/>
    <w:rsid w:val="00C37CAF"/>
    <w:rsid w:val="00C40242"/>
    <w:rsid w:val="00C4024D"/>
    <w:rsid w:val="00C405F5"/>
    <w:rsid w:val="00C40B36"/>
    <w:rsid w:val="00C410A1"/>
    <w:rsid w:val="00C41393"/>
    <w:rsid w:val="00C41647"/>
    <w:rsid w:val="00C41D4E"/>
    <w:rsid w:val="00C424EA"/>
    <w:rsid w:val="00C42914"/>
    <w:rsid w:val="00C429B0"/>
    <w:rsid w:val="00C42E28"/>
    <w:rsid w:val="00C4351D"/>
    <w:rsid w:val="00C43629"/>
    <w:rsid w:val="00C439B7"/>
    <w:rsid w:val="00C43F13"/>
    <w:rsid w:val="00C44265"/>
    <w:rsid w:val="00C444C0"/>
    <w:rsid w:val="00C44968"/>
    <w:rsid w:val="00C44A7A"/>
    <w:rsid w:val="00C44FA9"/>
    <w:rsid w:val="00C454AC"/>
    <w:rsid w:val="00C4574C"/>
    <w:rsid w:val="00C45C50"/>
    <w:rsid w:val="00C45F37"/>
    <w:rsid w:val="00C45FBA"/>
    <w:rsid w:val="00C46115"/>
    <w:rsid w:val="00C4612C"/>
    <w:rsid w:val="00C4649F"/>
    <w:rsid w:val="00C4671A"/>
    <w:rsid w:val="00C46AA6"/>
    <w:rsid w:val="00C46BEE"/>
    <w:rsid w:val="00C4709C"/>
    <w:rsid w:val="00C47218"/>
    <w:rsid w:val="00C4781A"/>
    <w:rsid w:val="00C4789D"/>
    <w:rsid w:val="00C479DB"/>
    <w:rsid w:val="00C47E2E"/>
    <w:rsid w:val="00C501DA"/>
    <w:rsid w:val="00C50353"/>
    <w:rsid w:val="00C506CD"/>
    <w:rsid w:val="00C50A87"/>
    <w:rsid w:val="00C50DFC"/>
    <w:rsid w:val="00C50E89"/>
    <w:rsid w:val="00C5122A"/>
    <w:rsid w:val="00C513AF"/>
    <w:rsid w:val="00C51462"/>
    <w:rsid w:val="00C51E5E"/>
    <w:rsid w:val="00C522C2"/>
    <w:rsid w:val="00C523E0"/>
    <w:rsid w:val="00C5272A"/>
    <w:rsid w:val="00C529AF"/>
    <w:rsid w:val="00C52A65"/>
    <w:rsid w:val="00C52BCF"/>
    <w:rsid w:val="00C52DF1"/>
    <w:rsid w:val="00C534A7"/>
    <w:rsid w:val="00C53AC7"/>
    <w:rsid w:val="00C53D05"/>
    <w:rsid w:val="00C53E16"/>
    <w:rsid w:val="00C540D3"/>
    <w:rsid w:val="00C549E0"/>
    <w:rsid w:val="00C54A84"/>
    <w:rsid w:val="00C54BDB"/>
    <w:rsid w:val="00C551E8"/>
    <w:rsid w:val="00C5547A"/>
    <w:rsid w:val="00C558C3"/>
    <w:rsid w:val="00C56140"/>
    <w:rsid w:val="00C5628C"/>
    <w:rsid w:val="00C56462"/>
    <w:rsid w:val="00C565EE"/>
    <w:rsid w:val="00C567FE"/>
    <w:rsid w:val="00C569D5"/>
    <w:rsid w:val="00C56C54"/>
    <w:rsid w:val="00C56F75"/>
    <w:rsid w:val="00C570F9"/>
    <w:rsid w:val="00C571B2"/>
    <w:rsid w:val="00C57257"/>
    <w:rsid w:val="00C573CF"/>
    <w:rsid w:val="00C579F5"/>
    <w:rsid w:val="00C57B93"/>
    <w:rsid w:val="00C57C77"/>
    <w:rsid w:val="00C57FC3"/>
    <w:rsid w:val="00C6000B"/>
    <w:rsid w:val="00C603AE"/>
    <w:rsid w:val="00C60478"/>
    <w:rsid w:val="00C609AA"/>
    <w:rsid w:val="00C60CE4"/>
    <w:rsid w:val="00C61366"/>
    <w:rsid w:val="00C61581"/>
    <w:rsid w:val="00C618FD"/>
    <w:rsid w:val="00C61DC9"/>
    <w:rsid w:val="00C61E97"/>
    <w:rsid w:val="00C62078"/>
    <w:rsid w:val="00C6214D"/>
    <w:rsid w:val="00C62587"/>
    <w:rsid w:val="00C6268B"/>
    <w:rsid w:val="00C62FBD"/>
    <w:rsid w:val="00C63116"/>
    <w:rsid w:val="00C63201"/>
    <w:rsid w:val="00C63BB5"/>
    <w:rsid w:val="00C63CAD"/>
    <w:rsid w:val="00C64133"/>
    <w:rsid w:val="00C641E7"/>
    <w:rsid w:val="00C64397"/>
    <w:rsid w:val="00C645F1"/>
    <w:rsid w:val="00C64B92"/>
    <w:rsid w:val="00C64EC1"/>
    <w:rsid w:val="00C64F55"/>
    <w:rsid w:val="00C652C8"/>
    <w:rsid w:val="00C653E6"/>
    <w:rsid w:val="00C6554D"/>
    <w:rsid w:val="00C65670"/>
    <w:rsid w:val="00C65C90"/>
    <w:rsid w:val="00C65C9E"/>
    <w:rsid w:val="00C65D6E"/>
    <w:rsid w:val="00C65DD7"/>
    <w:rsid w:val="00C66025"/>
    <w:rsid w:val="00C660C0"/>
    <w:rsid w:val="00C66115"/>
    <w:rsid w:val="00C667B7"/>
    <w:rsid w:val="00C669C2"/>
    <w:rsid w:val="00C66B62"/>
    <w:rsid w:val="00C66C0A"/>
    <w:rsid w:val="00C66D3E"/>
    <w:rsid w:val="00C66F56"/>
    <w:rsid w:val="00C67180"/>
    <w:rsid w:val="00C67228"/>
    <w:rsid w:val="00C67332"/>
    <w:rsid w:val="00C676B4"/>
    <w:rsid w:val="00C67E1F"/>
    <w:rsid w:val="00C70280"/>
    <w:rsid w:val="00C70973"/>
    <w:rsid w:val="00C70CBE"/>
    <w:rsid w:val="00C710D6"/>
    <w:rsid w:val="00C71146"/>
    <w:rsid w:val="00C7137A"/>
    <w:rsid w:val="00C71713"/>
    <w:rsid w:val="00C71996"/>
    <w:rsid w:val="00C729F9"/>
    <w:rsid w:val="00C72C48"/>
    <w:rsid w:val="00C72FD5"/>
    <w:rsid w:val="00C7303E"/>
    <w:rsid w:val="00C739E8"/>
    <w:rsid w:val="00C73D0E"/>
    <w:rsid w:val="00C73D6F"/>
    <w:rsid w:val="00C73E9D"/>
    <w:rsid w:val="00C743EC"/>
    <w:rsid w:val="00C74462"/>
    <w:rsid w:val="00C744F2"/>
    <w:rsid w:val="00C746DD"/>
    <w:rsid w:val="00C74F14"/>
    <w:rsid w:val="00C750FA"/>
    <w:rsid w:val="00C758D6"/>
    <w:rsid w:val="00C75BCF"/>
    <w:rsid w:val="00C76793"/>
    <w:rsid w:val="00C768C3"/>
    <w:rsid w:val="00C7696C"/>
    <w:rsid w:val="00C76BDA"/>
    <w:rsid w:val="00C773BA"/>
    <w:rsid w:val="00C77BF4"/>
    <w:rsid w:val="00C77F24"/>
    <w:rsid w:val="00C801B7"/>
    <w:rsid w:val="00C80828"/>
    <w:rsid w:val="00C80EBE"/>
    <w:rsid w:val="00C810D6"/>
    <w:rsid w:val="00C81B2E"/>
    <w:rsid w:val="00C8235F"/>
    <w:rsid w:val="00C82E15"/>
    <w:rsid w:val="00C83342"/>
    <w:rsid w:val="00C8352D"/>
    <w:rsid w:val="00C8357A"/>
    <w:rsid w:val="00C8362E"/>
    <w:rsid w:val="00C838D6"/>
    <w:rsid w:val="00C83B16"/>
    <w:rsid w:val="00C83B85"/>
    <w:rsid w:val="00C8429A"/>
    <w:rsid w:val="00C843F6"/>
    <w:rsid w:val="00C845B7"/>
    <w:rsid w:val="00C84639"/>
    <w:rsid w:val="00C84791"/>
    <w:rsid w:val="00C84818"/>
    <w:rsid w:val="00C84C59"/>
    <w:rsid w:val="00C84C69"/>
    <w:rsid w:val="00C84DB1"/>
    <w:rsid w:val="00C854A9"/>
    <w:rsid w:val="00C85604"/>
    <w:rsid w:val="00C85BD8"/>
    <w:rsid w:val="00C85D8B"/>
    <w:rsid w:val="00C85DF8"/>
    <w:rsid w:val="00C85FAE"/>
    <w:rsid w:val="00C8611D"/>
    <w:rsid w:val="00C865AB"/>
    <w:rsid w:val="00C86784"/>
    <w:rsid w:val="00C86BB8"/>
    <w:rsid w:val="00C86ECB"/>
    <w:rsid w:val="00C87041"/>
    <w:rsid w:val="00C8730B"/>
    <w:rsid w:val="00C875C8"/>
    <w:rsid w:val="00C876A2"/>
    <w:rsid w:val="00C87773"/>
    <w:rsid w:val="00C87915"/>
    <w:rsid w:val="00C87CC7"/>
    <w:rsid w:val="00C87EEB"/>
    <w:rsid w:val="00C900FB"/>
    <w:rsid w:val="00C9023B"/>
    <w:rsid w:val="00C902F3"/>
    <w:rsid w:val="00C905AA"/>
    <w:rsid w:val="00C90932"/>
    <w:rsid w:val="00C90993"/>
    <w:rsid w:val="00C90D1E"/>
    <w:rsid w:val="00C90F44"/>
    <w:rsid w:val="00C9117E"/>
    <w:rsid w:val="00C91184"/>
    <w:rsid w:val="00C911C2"/>
    <w:rsid w:val="00C9129F"/>
    <w:rsid w:val="00C91392"/>
    <w:rsid w:val="00C914F5"/>
    <w:rsid w:val="00C91A7C"/>
    <w:rsid w:val="00C91AFD"/>
    <w:rsid w:val="00C91B5C"/>
    <w:rsid w:val="00C91B95"/>
    <w:rsid w:val="00C91CA4"/>
    <w:rsid w:val="00C91F80"/>
    <w:rsid w:val="00C920EB"/>
    <w:rsid w:val="00C923A2"/>
    <w:rsid w:val="00C924D5"/>
    <w:rsid w:val="00C9302A"/>
    <w:rsid w:val="00C93BD7"/>
    <w:rsid w:val="00C93F7B"/>
    <w:rsid w:val="00C9401D"/>
    <w:rsid w:val="00C942D3"/>
    <w:rsid w:val="00C94555"/>
    <w:rsid w:val="00C948CC"/>
    <w:rsid w:val="00C94913"/>
    <w:rsid w:val="00C94B0F"/>
    <w:rsid w:val="00C94B15"/>
    <w:rsid w:val="00C9506E"/>
    <w:rsid w:val="00C9522C"/>
    <w:rsid w:val="00C95831"/>
    <w:rsid w:val="00C95CCD"/>
    <w:rsid w:val="00C963DC"/>
    <w:rsid w:val="00C965C2"/>
    <w:rsid w:val="00C9686C"/>
    <w:rsid w:val="00C96AA0"/>
    <w:rsid w:val="00C96BBE"/>
    <w:rsid w:val="00C96BCA"/>
    <w:rsid w:val="00C96F5A"/>
    <w:rsid w:val="00C97421"/>
    <w:rsid w:val="00C974CA"/>
    <w:rsid w:val="00C97502"/>
    <w:rsid w:val="00C97C89"/>
    <w:rsid w:val="00CA0715"/>
    <w:rsid w:val="00CA0D6E"/>
    <w:rsid w:val="00CA1434"/>
    <w:rsid w:val="00CA162A"/>
    <w:rsid w:val="00CA1971"/>
    <w:rsid w:val="00CA215B"/>
    <w:rsid w:val="00CA220A"/>
    <w:rsid w:val="00CA23AB"/>
    <w:rsid w:val="00CA29A0"/>
    <w:rsid w:val="00CA2D45"/>
    <w:rsid w:val="00CA2EBD"/>
    <w:rsid w:val="00CA3028"/>
    <w:rsid w:val="00CA34E1"/>
    <w:rsid w:val="00CA389A"/>
    <w:rsid w:val="00CA3984"/>
    <w:rsid w:val="00CA39FD"/>
    <w:rsid w:val="00CA3A5E"/>
    <w:rsid w:val="00CA3B08"/>
    <w:rsid w:val="00CA3BC2"/>
    <w:rsid w:val="00CA4803"/>
    <w:rsid w:val="00CA48C7"/>
    <w:rsid w:val="00CA516E"/>
    <w:rsid w:val="00CA5171"/>
    <w:rsid w:val="00CA52BE"/>
    <w:rsid w:val="00CA52F9"/>
    <w:rsid w:val="00CA5615"/>
    <w:rsid w:val="00CA583A"/>
    <w:rsid w:val="00CA5BB1"/>
    <w:rsid w:val="00CA5E30"/>
    <w:rsid w:val="00CA5E9C"/>
    <w:rsid w:val="00CA6074"/>
    <w:rsid w:val="00CA68A4"/>
    <w:rsid w:val="00CA69FA"/>
    <w:rsid w:val="00CA6AD0"/>
    <w:rsid w:val="00CA6AE6"/>
    <w:rsid w:val="00CA6BF0"/>
    <w:rsid w:val="00CA6CA5"/>
    <w:rsid w:val="00CA7A07"/>
    <w:rsid w:val="00CA7C2E"/>
    <w:rsid w:val="00CB00E1"/>
    <w:rsid w:val="00CB0267"/>
    <w:rsid w:val="00CB05E7"/>
    <w:rsid w:val="00CB06DB"/>
    <w:rsid w:val="00CB0953"/>
    <w:rsid w:val="00CB0F5B"/>
    <w:rsid w:val="00CB11C4"/>
    <w:rsid w:val="00CB1888"/>
    <w:rsid w:val="00CB1916"/>
    <w:rsid w:val="00CB1C2E"/>
    <w:rsid w:val="00CB22DF"/>
    <w:rsid w:val="00CB256E"/>
    <w:rsid w:val="00CB291D"/>
    <w:rsid w:val="00CB312F"/>
    <w:rsid w:val="00CB348F"/>
    <w:rsid w:val="00CB3E37"/>
    <w:rsid w:val="00CB4001"/>
    <w:rsid w:val="00CB41C8"/>
    <w:rsid w:val="00CB423F"/>
    <w:rsid w:val="00CB45CF"/>
    <w:rsid w:val="00CB4899"/>
    <w:rsid w:val="00CB48DD"/>
    <w:rsid w:val="00CB49E1"/>
    <w:rsid w:val="00CB4CE4"/>
    <w:rsid w:val="00CB4DC8"/>
    <w:rsid w:val="00CB4FE8"/>
    <w:rsid w:val="00CB538D"/>
    <w:rsid w:val="00CB568A"/>
    <w:rsid w:val="00CB587C"/>
    <w:rsid w:val="00CB5961"/>
    <w:rsid w:val="00CB5DA9"/>
    <w:rsid w:val="00CB6071"/>
    <w:rsid w:val="00CB6087"/>
    <w:rsid w:val="00CB620E"/>
    <w:rsid w:val="00CB6849"/>
    <w:rsid w:val="00CB6950"/>
    <w:rsid w:val="00CB7064"/>
    <w:rsid w:val="00CB70DA"/>
    <w:rsid w:val="00CB71B3"/>
    <w:rsid w:val="00CB72E3"/>
    <w:rsid w:val="00CB744B"/>
    <w:rsid w:val="00CB7A39"/>
    <w:rsid w:val="00CB7A3B"/>
    <w:rsid w:val="00CB7ABC"/>
    <w:rsid w:val="00CB7DD2"/>
    <w:rsid w:val="00CC0016"/>
    <w:rsid w:val="00CC004C"/>
    <w:rsid w:val="00CC0141"/>
    <w:rsid w:val="00CC0173"/>
    <w:rsid w:val="00CC01BD"/>
    <w:rsid w:val="00CC065C"/>
    <w:rsid w:val="00CC07DA"/>
    <w:rsid w:val="00CC0C0E"/>
    <w:rsid w:val="00CC0FE5"/>
    <w:rsid w:val="00CC11E0"/>
    <w:rsid w:val="00CC1825"/>
    <w:rsid w:val="00CC22BB"/>
    <w:rsid w:val="00CC234A"/>
    <w:rsid w:val="00CC24FB"/>
    <w:rsid w:val="00CC2704"/>
    <w:rsid w:val="00CC27AA"/>
    <w:rsid w:val="00CC3210"/>
    <w:rsid w:val="00CC33DA"/>
    <w:rsid w:val="00CC3472"/>
    <w:rsid w:val="00CC3843"/>
    <w:rsid w:val="00CC3B22"/>
    <w:rsid w:val="00CC4068"/>
    <w:rsid w:val="00CC4146"/>
    <w:rsid w:val="00CC4348"/>
    <w:rsid w:val="00CC4379"/>
    <w:rsid w:val="00CC446A"/>
    <w:rsid w:val="00CC4756"/>
    <w:rsid w:val="00CC4820"/>
    <w:rsid w:val="00CC4843"/>
    <w:rsid w:val="00CC58B3"/>
    <w:rsid w:val="00CC5A85"/>
    <w:rsid w:val="00CC5BC0"/>
    <w:rsid w:val="00CC5C23"/>
    <w:rsid w:val="00CC5E29"/>
    <w:rsid w:val="00CC6339"/>
    <w:rsid w:val="00CC63E1"/>
    <w:rsid w:val="00CC658B"/>
    <w:rsid w:val="00CC68B5"/>
    <w:rsid w:val="00CC6C63"/>
    <w:rsid w:val="00CC6DC1"/>
    <w:rsid w:val="00CC719D"/>
    <w:rsid w:val="00CC727A"/>
    <w:rsid w:val="00CC73DB"/>
    <w:rsid w:val="00CC7852"/>
    <w:rsid w:val="00CC7B77"/>
    <w:rsid w:val="00CC7E81"/>
    <w:rsid w:val="00CC7FB2"/>
    <w:rsid w:val="00CD06C1"/>
    <w:rsid w:val="00CD097B"/>
    <w:rsid w:val="00CD1539"/>
    <w:rsid w:val="00CD19E3"/>
    <w:rsid w:val="00CD1A71"/>
    <w:rsid w:val="00CD1AC8"/>
    <w:rsid w:val="00CD1DCA"/>
    <w:rsid w:val="00CD2636"/>
    <w:rsid w:val="00CD26F1"/>
    <w:rsid w:val="00CD2764"/>
    <w:rsid w:val="00CD27A5"/>
    <w:rsid w:val="00CD294D"/>
    <w:rsid w:val="00CD2AF2"/>
    <w:rsid w:val="00CD3ADB"/>
    <w:rsid w:val="00CD3C9D"/>
    <w:rsid w:val="00CD406D"/>
    <w:rsid w:val="00CD47F1"/>
    <w:rsid w:val="00CD4A7C"/>
    <w:rsid w:val="00CD5489"/>
    <w:rsid w:val="00CD54A8"/>
    <w:rsid w:val="00CD5699"/>
    <w:rsid w:val="00CD596E"/>
    <w:rsid w:val="00CD5BE3"/>
    <w:rsid w:val="00CD5CD0"/>
    <w:rsid w:val="00CD6DCB"/>
    <w:rsid w:val="00CD6EB3"/>
    <w:rsid w:val="00CD7089"/>
    <w:rsid w:val="00CD7229"/>
    <w:rsid w:val="00CD74A3"/>
    <w:rsid w:val="00CD754E"/>
    <w:rsid w:val="00CD77E2"/>
    <w:rsid w:val="00CD7A28"/>
    <w:rsid w:val="00CD7B5E"/>
    <w:rsid w:val="00CE01DA"/>
    <w:rsid w:val="00CE04FD"/>
    <w:rsid w:val="00CE09F4"/>
    <w:rsid w:val="00CE0A0E"/>
    <w:rsid w:val="00CE0F9B"/>
    <w:rsid w:val="00CE11BE"/>
    <w:rsid w:val="00CE145B"/>
    <w:rsid w:val="00CE1655"/>
    <w:rsid w:val="00CE2013"/>
    <w:rsid w:val="00CE2071"/>
    <w:rsid w:val="00CE210E"/>
    <w:rsid w:val="00CE2711"/>
    <w:rsid w:val="00CE2921"/>
    <w:rsid w:val="00CE2C85"/>
    <w:rsid w:val="00CE2DB3"/>
    <w:rsid w:val="00CE32BF"/>
    <w:rsid w:val="00CE3673"/>
    <w:rsid w:val="00CE3ADB"/>
    <w:rsid w:val="00CE3B0B"/>
    <w:rsid w:val="00CE3D01"/>
    <w:rsid w:val="00CE3FD8"/>
    <w:rsid w:val="00CE4574"/>
    <w:rsid w:val="00CE4C86"/>
    <w:rsid w:val="00CE5169"/>
    <w:rsid w:val="00CE5C47"/>
    <w:rsid w:val="00CE5E44"/>
    <w:rsid w:val="00CE5EBF"/>
    <w:rsid w:val="00CE664F"/>
    <w:rsid w:val="00CE67F9"/>
    <w:rsid w:val="00CE6BBB"/>
    <w:rsid w:val="00CE6CE7"/>
    <w:rsid w:val="00CE6D68"/>
    <w:rsid w:val="00CE79E9"/>
    <w:rsid w:val="00CE7DB1"/>
    <w:rsid w:val="00CE7F5A"/>
    <w:rsid w:val="00CF00E5"/>
    <w:rsid w:val="00CF020B"/>
    <w:rsid w:val="00CF03D0"/>
    <w:rsid w:val="00CF0B15"/>
    <w:rsid w:val="00CF0F81"/>
    <w:rsid w:val="00CF1151"/>
    <w:rsid w:val="00CF12BE"/>
    <w:rsid w:val="00CF1658"/>
    <w:rsid w:val="00CF169B"/>
    <w:rsid w:val="00CF1C61"/>
    <w:rsid w:val="00CF1F91"/>
    <w:rsid w:val="00CF20C3"/>
    <w:rsid w:val="00CF226E"/>
    <w:rsid w:val="00CF22E3"/>
    <w:rsid w:val="00CF2568"/>
    <w:rsid w:val="00CF284F"/>
    <w:rsid w:val="00CF29BF"/>
    <w:rsid w:val="00CF2A73"/>
    <w:rsid w:val="00CF2B64"/>
    <w:rsid w:val="00CF2C49"/>
    <w:rsid w:val="00CF318E"/>
    <w:rsid w:val="00CF3198"/>
    <w:rsid w:val="00CF32A8"/>
    <w:rsid w:val="00CF3486"/>
    <w:rsid w:val="00CF3700"/>
    <w:rsid w:val="00CF39A8"/>
    <w:rsid w:val="00CF44D1"/>
    <w:rsid w:val="00CF464D"/>
    <w:rsid w:val="00CF46B9"/>
    <w:rsid w:val="00CF47A8"/>
    <w:rsid w:val="00CF50ED"/>
    <w:rsid w:val="00CF5683"/>
    <w:rsid w:val="00CF5689"/>
    <w:rsid w:val="00CF58D7"/>
    <w:rsid w:val="00CF5B2C"/>
    <w:rsid w:val="00CF6268"/>
    <w:rsid w:val="00CF6444"/>
    <w:rsid w:val="00CF648B"/>
    <w:rsid w:val="00CF67DE"/>
    <w:rsid w:val="00CF695F"/>
    <w:rsid w:val="00CF6A2F"/>
    <w:rsid w:val="00CF6AEA"/>
    <w:rsid w:val="00CF6EE7"/>
    <w:rsid w:val="00CF6F0E"/>
    <w:rsid w:val="00CF71F6"/>
    <w:rsid w:val="00CF7593"/>
    <w:rsid w:val="00CF780F"/>
    <w:rsid w:val="00CF794C"/>
    <w:rsid w:val="00CF7C5D"/>
    <w:rsid w:val="00D00314"/>
    <w:rsid w:val="00D003B1"/>
    <w:rsid w:val="00D00A5C"/>
    <w:rsid w:val="00D00A89"/>
    <w:rsid w:val="00D00B2F"/>
    <w:rsid w:val="00D00B8D"/>
    <w:rsid w:val="00D01051"/>
    <w:rsid w:val="00D0117D"/>
    <w:rsid w:val="00D0168C"/>
    <w:rsid w:val="00D01DA1"/>
    <w:rsid w:val="00D01EF7"/>
    <w:rsid w:val="00D01FE9"/>
    <w:rsid w:val="00D0231C"/>
    <w:rsid w:val="00D02A5B"/>
    <w:rsid w:val="00D02BB7"/>
    <w:rsid w:val="00D0348D"/>
    <w:rsid w:val="00D034BA"/>
    <w:rsid w:val="00D03AA5"/>
    <w:rsid w:val="00D03C30"/>
    <w:rsid w:val="00D04115"/>
    <w:rsid w:val="00D04763"/>
    <w:rsid w:val="00D04A81"/>
    <w:rsid w:val="00D04C34"/>
    <w:rsid w:val="00D04C69"/>
    <w:rsid w:val="00D04CFA"/>
    <w:rsid w:val="00D04EE4"/>
    <w:rsid w:val="00D055B9"/>
    <w:rsid w:val="00D05B8B"/>
    <w:rsid w:val="00D05D14"/>
    <w:rsid w:val="00D06038"/>
    <w:rsid w:val="00D060D4"/>
    <w:rsid w:val="00D06458"/>
    <w:rsid w:val="00D064CE"/>
    <w:rsid w:val="00D06530"/>
    <w:rsid w:val="00D06F5F"/>
    <w:rsid w:val="00D0701E"/>
    <w:rsid w:val="00D0746E"/>
    <w:rsid w:val="00D0772D"/>
    <w:rsid w:val="00D078D9"/>
    <w:rsid w:val="00D07D81"/>
    <w:rsid w:val="00D1001A"/>
    <w:rsid w:val="00D101AD"/>
    <w:rsid w:val="00D10340"/>
    <w:rsid w:val="00D10407"/>
    <w:rsid w:val="00D1093B"/>
    <w:rsid w:val="00D10952"/>
    <w:rsid w:val="00D10AC5"/>
    <w:rsid w:val="00D10BE7"/>
    <w:rsid w:val="00D10CD2"/>
    <w:rsid w:val="00D10D32"/>
    <w:rsid w:val="00D1154D"/>
    <w:rsid w:val="00D11737"/>
    <w:rsid w:val="00D11772"/>
    <w:rsid w:val="00D11A2D"/>
    <w:rsid w:val="00D12268"/>
    <w:rsid w:val="00D12280"/>
    <w:rsid w:val="00D1245D"/>
    <w:rsid w:val="00D12504"/>
    <w:rsid w:val="00D12828"/>
    <w:rsid w:val="00D12B05"/>
    <w:rsid w:val="00D12B85"/>
    <w:rsid w:val="00D1339E"/>
    <w:rsid w:val="00D13CB1"/>
    <w:rsid w:val="00D14138"/>
    <w:rsid w:val="00D14459"/>
    <w:rsid w:val="00D14557"/>
    <w:rsid w:val="00D1464F"/>
    <w:rsid w:val="00D14B4E"/>
    <w:rsid w:val="00D14C25"/>
    <w:rsid w:val="00D14D1C"/>
    <w:rsid w:val="00D14DC9"/>
    <w:rsid w:val="00D14F95"/>
    <w:rsid w:val="00D1500F"/>
    <w:rsid w:val="00D15477"/>
    <w:rsid w:val="00D157AB"/>
    <w:rsid w:val="00D15AE3"/>
    <w:rsid w:val="00D160F9"/>
    <w:rsid w:val="00D16455"/>
    <w:rsid w:val="00D166AB"/>
    <w:rsid w:val="00D16ADA"/>
    <w:rsid w:val="00D16C98"/>
    <w:rsid w:val="00D16CD3"/>
    <w:rsid w:val="00D16D58"/>
    <w:rsid w:val="00D16E90"/>
    <w:rsid w:val="00D17339"/>
    <w:rsid w:val="00D17896"/>
    <w:rsid w:val="00D179F1"/>
    <w:rsid w:val="00D20035"/>
    <w:rsid w:val="00D2015C"/>
    <w:rsid w:val="00D20253"/>
    <w:rsid w:val="00D20566"/>
    <w:rsid w:val="00D206A3"/>
    <w:rsid w:val="00D20744"/>
    <w:rsid w:val="00D20A19"/>
    <w:rsid w:val="00D20B00"/>
    <w:rsid w:val="00D21164"/>
    <w:rsid w:val="00D213F1"/>
    <w:rsid w:val="00D21AF7"/>
    <w:rsid w:val="00D21CDA"/>
    <w:rsid w:val="00D21F2E"/>
    <w:rsid w:val="00D22141"/>
    <w:rsid w:val="00D22260"/>
    <w:rsid w:val="00D22266"/>
    <w:rsid w:val="00D22A26"/>
    <w:rsid w:val="00D22D35"/>
    <w:rsid w:val="00D22E4A"/>
    <w:rsid w:val="00D234D5"/>
    <w:rsid w:val="00D238FF"/>
    <w:rsid w:val="00D23DEF"/>
    <w:rsid w:val="00D23F97"/>
    <w:rsid w:val="00D2495F"/>
    <w:rsid w:val="00D249A6"/>
    <w:rsid w:val="00D249C6"/>
    <w:rsid w:val="00D24E2B"/>
    <w:rsid w:val="00D25353"/>
    <w:rsid w:val="00D256EE"/>
    <w:rsid w:val="00D258A6"/>
    <w:rsid w:val="00D25F43"/>
    <w:rsid w:val="00D26272"/>
    <w:rsid w:val="00D26588"/>
    <w:rsid w:val="00D266F7"/>
    <w:rsid w:val="00D269AC"/>
    <w:rsid w:val="00D26BB9"/>
    <w:rsid w:val="00D26C88"/>
    <w:rsid w:val="00D26E5C"/>
    <w:rsid w:val="00D27373"/>
    <w:rsid w:val="00D273DC"/>
    <w:rsid w:val="00D27567"/>
    <w:rsid w:val="00D276A0"/>
    <w:rsid w:val="00D278FA"/>
    <w:rsid w:val="00D27F74"/>
    <w:rsid w:val="00D30337"/>
    <w:rsid w:val="00D30381"/>
    <w:rsid w:val="00D306F9"/>
    <w:rsid w:val="00D307D3"/>
    <w:rsid w:val="00D309D0"/>
    <w:rsid w:val="00D30B0C"/>
    <w:rsid w:val="00D30E47"/>
    <w:rsid w:val="00D310AB"/>
    <w:rsid w:val="00D3114B"/>
    <w:rsid w:val="00D31339"/>
    <w:rsid w:val="00D31446"/>
    <w:rsid w:val="00D314C8"/>
    <w:rsid w:val="00D315CF"/>
    <w:rsid w:val="00D318DE"/>
    <w:rsid w:val="00D31FCB"/>
    <w:rsid w:val="00D32089"/>
    <w:rsid w:val="00D32518"/>
    <w:rsid w:val="00D3294A"/>
    <w:rsid w:val="00D32AE4"/>
    <w:rsid w:val="00D32F93"/>
    <w:rsid w:val="00D345DC"/>
    <w:rsid w:val="00D34646"/>
    <w:rsid w:val="00D34A04"/>
    <w:rsid w:val="00D34C4C"/>
    <w:rsid w:val="00D34D6B"/>
    <w:rsid w:val="00D34E09"/>
    <w:rsid w:val="00D35264"/>
    <w:rsid w:val="00D35284"/>
    <w:rsid w:val="00D3559D"/>
    <w:rsid w:val="00D35784"/>
    <w:rsid w:val="00D3583A"/>
    <w:rsid w:val="00D35B76"/>
    <w:rsid w:val="00D35D7F"/>
    <w:rsid w:val="00D3629F"/>
    <w:rsid w:val="00D365B4"/>
    <w:rsid w:val="00D36D6E"/>
    <w:rsid w:val="00D36E0F"/>
    <w:rsid w:val="00D37269"/>
    <w:rsid w:val="00D37282"/>
    <w:rsid w:val="00D379BF"/>
    <w:rsid w:val="00D379CD"/>
    <w:rsid w:val="00D40A0C"/>
    <w:rsid w:val="00D40B83"/>
    <w:rsid w:val="00D40F0B"/>
    <w:rsid w:val="00D41039"/>
    <w:rsid w:val="00D41214"/>
    <w:rsid w:val="00D41C12"/>
    <w:rsid w:val="00D41F6C"/>
    <w:rsid w:val="00D41FB4"/>
    <w:rsid w:val="00D42103"/>
    <w:rsid w:val="00D42567"/>
    <w:rsid w:val="00D42846"/>
    <w:rsid w:val="00D42CD1"/>
    <w:rsid w:val="00D42FBD"/>
    <w:rsid w:val="00D430D1"/>
    <w:rsid w:val="00D432CD"/>
    <w:rsid w:val="00D434A4"/>
    <w:rsid w:val="00D43678"/>
    <w:rsid w:val="00D4389B"/>
    <w:rsid w:val="00D43B70"/>
    <w:rsid w:val="00D43E54"/>
    <w:rsid w:val="00D443C0"/>
    <w:rsid w:val="00D443C7"/>
    <w:rsid w:val="00D449ED"/>
    <w:rsid w:val="00D44A9F"/>
    <w:rsid w:val="00D44CBB"/>
    <w:rsid w:val="00D44D18"/>
    <w:rsid w:val="00D44E5E"/>
    <w:rsid w:val="00D44E6E"/>
    <w:rsid w:val="00D44ED2"/>
    <w:rsid w:val="00D452E4"/>
    <w:rsid w:val="00D45671"/>
    <w:rsid w:val="00D45CCF"/>
    <w:rsid w:val="00D45FE3"/>
    <w:rsid w:val="00D46179"/>
    <w:rsid w:val="00D46182"/>
    <w:rsid w:val="00D46836"/>
    <w:rsid w:val="00D469DE"/>
    <w:rsid w:val="00D46C84"/>
    <w:rsid w:val="00D46F51"/>
    <w:rsid w:val="00D4704D"/>
    <w:rsid w:val="00D47139"/>
    <w:rsid w:val="00D47240"/>
    <w:rsid w:val="00D47444"/>
    <w:rsid w:val="00D4796A"/>
    <w:rsid w:val="00D47B54"/>
    <w:rsid w:val="00D501F9"/>
    <w:rsid w:val="00D50215"/>
    <w:rsid w:val="00D503C6"/>
    <w:rsid w:val="00D505F6"/>
    <w:rsid w:val="00D50989"/>
    <w:rsid w:val="00D50A70"/>
    <w:rsid w:val="00D510EE"/>
    <w:rsid w:val="00D5126E"/>
    <w:rsid w:val="00D51379"/>
    <w:rsid w:val="00D5147E"/>
    <w:rsid w:val="00D5156F"/>
    <w:rsid w:val="00D518A5"/>
    <w:rsid w:val="00D519D7"/>
    <w:rsid w:val="00D51B0E"/>
    <w:rsid w:val="00D525F2"/>
    <w:rsid w:val="00D52833"/>
    <w:rsid w:val="00D52A69"/>
    <w:rsid w:val="00D52E8D"/>
    <w:rsid w:val="00D52FFC"/>
    <w:rsid w:val="00D5341A"/>
    <w:rsid w:val="00D537F2"/>
    <w:rsid w:val="00D53A3D"/>
    <w:rsid w:val="00D53F11"/>
    <w:rsid w:val="00D54216"/>
    <w:rsid w:val="00D54648"/>
    <w:rsid w:val="00D54958"/>
    <w:rsid w:val="00D549BB"/>
    <w:rsid w:val="00D54B28"/>
    <w:rsid w:val="00D54F5C"/>
    <w:rsid w:val="00D55452"/>
    <w:rsid w:val="00D55DB4"/>
    <w:rsid w:val="00D560C3"/>
    <w:rsid w:val="00D565A4"/>
    <w:rsid w:val="00D56768"/>
    <w:rsid w:val="00D567E5"/>
    <w:rsid w:val="00D569B1"/>
    <w:rsid w:val="00D56C4C"/>
    <w:rsid w:val="00D56DF8"/>
    <w:rsid w:val="00D56E78"/>
    <w:rsid w:val="00D57B44"/>
    <w:rsid w:val="00D57DE3"/>
    <w:rsid w:val="00D57F95"/>
    <w:rsid w:val="00D6009F"/>
    <w:rsid w:val="00D600A7"/>
    <w:rsid w:val="00D60128"/>
    <w:rsid w:val="00D601E4"/>
    <w:rsid w:val="00D60343"/>
    <w:rsid w:val="00D60353"/>
    <w:rsid w:val="00D6046A"/>
    <w:rsid w:val="00D6047E"/>
    <w:rsid w:val="00D6126F"/>
    <w:rsid w:val="00D61303"/>
    <w:rsid w:val="00D61B8E"/>
    <w:rsid w:val="00D61C01"/>
    <w:rsid w:val="00D61C02"/>
    <w:rsid w:val="00D61EBD"/>
    <w:rsid w:val="00D620F0"/>
    <w:rsid w:val="00D6233B"/>
    <w:rsid w:val="00D6234B"/>
    <w:rsid w:val="00D62415"/>
    <w:rsid w:val="00D62626"/>
    <w:rsid w:val="00D6271E"/>
    <w:rsid w:val="00D62888"/>
    <w:rsid w:val="00D62CD4"/>
    <w:rsid w:val="00D62CF0"/>
    <w:rsid w:val="00D62ED6"/>
    <w:rsid w:val="00D62F0A"/>
    <w:rsid w:val="00D63117"/>
    <w:rsid w:val="00D63787"/>
    <w:rsid w:val="00D6394A"/>
    <w:rsid w:val="00D639E4"/>
    <w:rsid w:val="00D63A6F"/>
    <w:rsid w:val="00D63AC2"/>
    <w:rsid w:val="00D63C4C"/>
    <w:rsid w:val="00D63D08"/>
    <w:rsid w:val="00D63F8A"/>
    <w:rsid w:val="00D644C8"/>
    <w:rsid w:val="00D645C7"/>
    <w:rsid w:val="00D647BC"/>
    <w:rsid w:val="00D6489B"/>
    <w:rsid w:val="00D649F7"/>
    <w:rsid w:val="00D64A6A"/>
    <w:rsid w:val="00D64B1A"/>
    <w:rsid w:val="00D64C54"/>
    <w:rsid w:val="00D6502E"/>
    <w:rsid w:val="00D65289"/>
    <w:rsid w:val="00D65661"/>
    <w:rsid w:val="00D657F3"/>
    <w:rsid w:val="00D65B7E"/>
    <w:rsid w:val="00D65B87"/>
    <w:rsid w:val="00D65E28"/>
    <w:rsid w:val="00D66147"/>
    <w:rsid w:val="00D66253"/>
    <w:rsid w:val="00D66AC3"/>
    <w:rsid w:val="00D66BBA"/>
    <w:rsid w:val="00D671D4"/>
    <w:rsid w:val="00D671EA"/>
    <w:rsid w:val="00D673F5"/>
    <w:rsid w:val="00D6774F"/>
    <w:rsid w:val="00D67A22"/>
    <w:rsid w:val="00D67BBF"/>
    <w:rsid w:val="00D67E7C"/>
    <w:rsid w:val="00D70426"/>
    <w:rsid w:val="00D70842"/>
    <w:rsid w:val="00D70B0D"/>
    <w:rsid w:val="00D70BAE"/>
    <w:rsid w:val="00D70CE5"/>
    <w:rsid w:val="00D711F2"/>
    <w:rsid w:val="00D712AA"/>
    <w:rsid w:val="00D713B8"/>
    <w:rsid w:val="00D71761"/>
    <w:rsid w:val="00D719E9"/>
    <w:rsid w:val="00D71A6E"/>
    <w:rsid w:val="00D71B2A"/>
    <w:rsid w:val="00D720D9"/>
    <w:rsid w:val="00D726DD"/>
    <w:rsid w:val="00D72AD4"/>
    <w:rsid w:val="00D72E7C"/>
    <w:rsid w:val="00D73178"/>
    <w:rsid w:val="00D735C4"/>
    <w:rsid w:val="00D738FE"/>
    <w:rsid w:val="00D73B2E"/>
    <w:rsid w:val="00D73B90"/>
    <w:rsid w:val="00D73BBB"/>
    <w:rsid w:val="00D73D25"/>
    <w:rsid w:val="00D73FB4"/>
    <w:rsid w:val="00D74831"/>
    <w:rsid w:val="00D74F7E"/>
    <w:rsid w:val="00D74FE7"/>
    <w:rsid w:val="00D75974"/>
    <w:rsid w:val="00D75EE3"/>
    <w:rsid w:val="00D760D9"/>
    <w:rsid w:val="00D7618C"/>
    <w:rsid w:val="00D7622D"/>
    <w:rsid w:val="00D76575"/>
    <w:rsid w:val="00D769F7"/>
    <w:rsid w:val="00D76C1F"/>
    <w:rsid w:val="00D76DA7"/>
    <w:rsid w:val="00D77475"/>
    <w:rsid w:val="00D774B8"/>
    <w:rsid w:val="00D7751B"/>
    <w:rsid w:val="00D775FA"/>
    <w:rsid w:val="00D7798A"/>
    <w:rsid w:val="00D77B63"/>
    <w:rsid w:val="00D77C27"/>
    <w:rsid w:val="00D804DB"/>
    <w:rsid w:val="00D804F1"/>
    <w:rsid w:val="00D81629"/>
    <w:rsid w:val="00D818FD"/>
    <w:rsid w:val="00D81997"/>
    <w:rsid w:val="00D81AD0"/>
    <w:rsid w:val="00D81C62"/>
    <w:rsid w:val="00D81F94"/>
    <w:rsid w:val="00D81FAA"/>
    <w:rsid w:val="00D82637"/>
    <w:rsid w:val="00D826C3"/>
    <w:rsid w:val="00D82C53"/>
    <w:rsid w:val="00D82E05"/>
    <w:rsid w:val="00D82E5C"/>
    <w:rsid w:val="00D830F1"/>
    <w:rsid w:val="00D836C5"/>
    <w:rsid w:val="00D83D47"/>
    <w:rsid w:val="00D83DAF"/>
    <w:rsid w:val="00D83DEA"/>
    <w:rsid w:val="00D847F7"/>
    <w:rsid w:val="00D848E3"/>
    <w:rsid w:val="00D8495E"/>
    <w:rsid w:val="00D84AB7"/>
    <w:rsid w:val="00D84CBA"/>
    <w:rsid w:val="00D84D38"/>
    <w:rsid w:val="00D850C4"/>
    <w:rsid w:val="00D8513C"/>
    <w:rsid w:val="00D85946"/>
    <w:rsid w:val="00D85AE8"/>
    <w:rsid w:val="00D85AFE"/>
    <w:rsid w:val="00D85DBC"/>
    <w:rsid w:val="00D85DC2"/>
    <w:rsid w:val="00D860A3"/>
    <w:rsid w:val="00D861DE"/>
    <w:rsid w:val="00D864BC"/>
    <w:rsid w:val="00D86A54"/>
    <w:rsid w:val="00D86FFD"/>
    <w:rsid w:val="00D87114"/>
    <w:rsid w:val="00D8769A"/>
    <w:rsid w:val="00D876A3"/>
    <w:rsid w:val="00D877DD"/>
    <w:rsid w:val="00D8799B"/>
    <w:rsid w:val="00D87EA3"/>
    <w:rsid w:val="00D9076E"/>
    <w:rsid w:val="00D90C2C"/>
    <w:rsid w:val="00D90D91"/>
    <w:rsid w:val="00D90DCC"/>
    <w:rsid w:val="00D91034"/>
    <w:rsid w:val="00D9108A"/>
    <w:rsid w:val="00D915DD"/>
    <w:rsid w:val="00D916B3"/>
    <w:rsid w:val="00D9196F"/>
    <w:rsid w:val="00D91B13"/>
    <w:rsid w:val="00D91C77"/>
    <w:rsid w:val="00D91CB6"/>
    <w:rsid w:val="00D91CEB"/>
    <w:rsid w:val="00D92401"/>
    <w:rsid w:val="00D92542"/>
    <w:rsid w:val="00D927A2"/>
    <w:rsid w:val="00D9282F"/>
    <w:rsid w:val="00D92849"/>
    <w:rsid w:val="00D929EB"/>
    <w:rsid w:val="00D92A87"/>
    <w:rsid w:val="00D92E07"/>
    <w:rsid w:val="00D92E7F"/>
    <w:rsid w:val="00D93575"/>
    <w:rsid w:val="00D9362A"/>
    <w:rsid w:val="00D9382E"/>
    <w:rsid w:val="00D93C47"/>
    <w:rsid w:val="00D93DBE"/>
    <w:rsid w:val="00D93DEC"/>
    <w:rsid w:val="00D93E36"/>
    <w:rsid w:val="00D93EC4"/>
    <w:rsid w:val="00D94462"/>
    <w:rsid w:val="00D944CE"/>
    <w:rsid w:val="00D94639"/>
    <w:rsid w:val="00D94782"/>
    <w:rsid w:val="00D949D2"/>
    <w:rsid w:val="00D94B34"/>
    <w:rsid w:val="00D94CF1"/>
    <w:rsid w:val="00D94F6F"/>
    <w:rsid w:val="00D9508D"/>
    <w:rsid w:val="00D95108"/>
    <w:rsid w:val="00D95167"/>
    <w:rsid w:val="00D951EB"/>
    <w:rsid w:val="00D9542C"/>
    <w:rsid w:val="00D95A3D"/>
    <w:rsid w:val="00D96A61"/>
    <w:rsid w:val="00D97425"/>
    <w:rsid w:val="00D97B50"/>
    <w:rsid w:val="00D97C63"/>
    <w:rsid w:val="00DA0440"/>
    <w:rsid w:val="00DA0865"/>
    <w:rsid w:val="00DA0ED5"/>
    <w:rsid w:val="00DA1229"/>
    <w:rsid w:val="00DA22A5"/>
    <w:rsid w:val="00DA23E3"/>
    <w:rsid w:val="00DA2458"/>
    <w:rsid w:val="00DA254B"/>
    <w:rsid w:val="00DA2A80"/>
    <w:rsid w:val="00DA2C9D"/>
    <w:rsid w:val="00DA2E25"/>
    <w:rsid w:val="00DA3250"/>
    <w:rsid w:val="00DA35EA"/>
    <w:rsid w:val="00DA4216"/>
    <w:rsid w:val="00DA45F7"/>
    <w:rsid w:val="00DA4809"/>
    <w:rsid w:val="00DA4AF7"/>
    <w:rsid w:val="00DA4D99"/>
    <w:rsid w:val="00DA4EDF"/>
    <w:rsid w:val="00DA5362"/>
    <w:rsid w:val="00DA544B"/>
    <w:rsid w:val="00DA571F"/>
    <w:rsid w:val="00DA58C8"/>
    <w:rsid w:val="00DA5A5C"/>
    <w:rsid w:val="00DA5B3D"/>
    <w:rsid w:val="00DA6096"/>
    <w:rsid w:val="00DA6515"/>
    <w:rsid w:val="00DA65B8"/>
    <w:rsid w:val="00DA6787"/>
    <w:rsid w:val="00DA6A0C"/>
    <w:rsid w:val="00DA6A11"/>
    <w:rsid w:val="00DA6A58"/>
    <w:rsid w:val="00DA6D35"/>
    <w:rsid w:val="00DA6FD8"/>
    <w:rsid w:val="00DA7012"/>
    <w:rsid w:val="00DA75B7"/>
    <w:rsid w:val="00DA7D27"/>
    <w:rsid w:val="00DB0198"/>
    <w:rsid w:val="00DB0462"/>
    <w:rsid w:val="00DB0EA6"/>
    <w:rsid w:val="00DB0F2F"/>
    <w:rsid w:val="00DB11CB"/>
    <w:rsid w:val="00DB19C0"/>
    <w:rsid w:val="00DB1A7E"/>
    <w:rsid w:val="00DB1A96"/>
    <w:rsid w:val="00DB1B75"/>
    <w:rsid w:val="00DB1F6E"/>
    <w:rsid w:val="00DB2337"/>
    <w:rsid w:val="00DB251A"/>
    <w:rsid w:val="00DB26AA"/>
    <w:rsid w:val="00DB2B03"/>
    <w:rsid w:val="00DB2F06"/>
    <w:rsid w:val="00DB314F"/>
    <w:rsid w:val="00DB3268"/>
    <w:rsid w:val="00DB33A0"/>
    <w:rsid w:val="00DB37B1"/>
    <w:rsid w:val="00DB393A"/>
    <w:rsid w:val="00DB3A80"/>
    <w:rsid w:val="00DB3CDC"/>
    <w:rsid w:val="00DB3CE2"/>
    <w:rsid w:val="00DB4219"/>
    <w:rsid w:val="00DB4464"/>
    <w:rsid w:val="00DB453E"/>
    <w:rsid w:val="00DB476C"/>
    <w:rsid w:val="00DB479B"/>
    <w:rsid w:val="00DB49C6"/>
    <w:rsid w:val="00DB4DF4"/>
    <w:rsid w:val="00DB4F2B"/>
    <w:rsid w:val="00DB52AB"/>
    <w:rsid w:val="00DB557D"/>
    <w:rsid w:val="00DB5AEF"/>
    <w:rsid w:val="00DB6303"/>
    <w:rsid w:val="00DB6711"/>
    <w:rsid w:val="00DB67F2"/>
    <w:rsid w:val="00DB6BA0"/>
    <w:rsid w:val="00DB6D34"/>
    <w:rsid w:val="00DB7008"/>
    <w:rsid w:val="00DB7112"/>
    <w:rsid w:val="00DB7263"/>
    <w:rsid w:val="00DB7550"/>
    <w:rsid w:val="00DB7867"/>
    <w:rsid w:val="00DB7EC4"/>
    <w:rsid w:val="00DC023A"/>
    <w:rsid w:val="00DC04D6"/>
    <w:rsid w:val="00DC097F"/>
    <w:rsid w:val="00DC09C4"/>
    <w:rsid w:val="00DC0E11"/>
    <w:rsid w:val="00DC141A"/>
    <w:rsid w:val="00DC169E"/>
    <w:rsid w:val="00DC1760"/>
    <w:rsid w:val="00DC1A91"/>
    <w:rsid w:val="00DC1B68"/>
    <w:rsid w:val="00DC1CFB"/>
    <w:rsid w:val="00DC1D70"/>
    <w:rsid w:val="00DC1FB7"/>
    <w:rsid w:val="00DC22A4"/>
    <w:rsid w:val="00DC2317"/>
    <w:rsid w:val="00DC237F"/>
    <w:rsid w:val="00DC259C"/>
    <w:rsid w:val="00DC25FF"/>
    <w:rsid w:val="00DC292A"/>
    <w:rsid w:val="00DC2C11"/>
    <w:rsid w:val="00DC2E03"/>
    <w:rsid w:val="00DC33D2"/>
    <w:rsid w:val="00DC33D3"/>
    <w:rsid w:val="00DC3715"/>
    <w:rsid w:val="00DC3D8B"/>
    <w:rsid w:val="00DC3FA4"/>
    <w:rsid w:val="00DC42CF"/>
    <w:rsid w:val="00DC43D0"/>
    <w:rsid w:val="00DC4D10"/>
    <w:rsid w:val="00DC5037"/>
    <w:rsid w:val="00DC531E"/>
    <w:rsid w:val="00DC54E6"/>
    <w:rsid w:val="00DC603B"/>
    <w:rsid w:val="00DC6331"/>
    <w:rsid w:val="00DC6379"/>
    <w:rsid w:val="00DC6754"/>
    <w:rsid w:val="00DC6772"/>
    <w:rsid w:val="00DC6BB6"/>
    <w:rsid w:val="00DC6C9A"/>
    <w:rsid w:val="00DC6D97"/>
    <w:rsid w:val="00DC6F3C"/>
    <w:rsid w:val="00DC6F4D"/>
    <w:rsid w:val="00DC6F5E"/>
    <w:rsid w:val="00DC7003"/>
    <w:rsid w:val="00DC7060"/>
    <w:rsid w:val="00DC747D"/>
    <w:rsid w:val="00DC7499"/>
    <w:rsid w:val="00DC765F"/>
    <w:rsid w:val="00DC77FC"/>
    <w:rsid w:val="00DC7801"/>
    <w:rsid w:val="00DC7C3A"/>
    <w:rsid w:val="00DC7E9A"/>
    <w:rsid w:val="00DC7EC2"/>
    <w:rsid w:val="00DD05CE"/>
    <w:rsid w:val="00DD08F9"/>
    <w:rsid w:val="00DD0C6B"/>
    <w:rsid w:val="00DD0CA1"/>
    <w:rsid w:val="00DD0CE3"/>
    <w:rsid w:val="00DD0DE8"/>
    <w:rsid w:val="00DD13DE"/>
    <w:rsid w:val="00DD14B5"/>
    <w:rsid w:val="00DD1806"/>
    <w:rsid w:val="00DD210B"/>
    <w:rsid w:val="00DD2351"/>
    <w:rsid w:val="00DD2C0E"/>
    <w:rsid w:val="00DD2D13"/>
    <w:rsid w:val="00DD2D74"/>
    <w:rsid w:val="00DD3557"/>
    <w:rsid w:val="00DD3589"/>
    <w:rsid w:val="00DD382B"/>
    <w:rsid w:val="00DD3A12"/>
    <w:rsid w:val="00DD3C87"/>
    <w:rsid w:val="00DD3D3B"/>
    <w:rsid w:val="00DD3DC8"/>
    <w:rsid w:val="00DD4133"/>
    <w:rsid w:val="00DD4320"/>
    <w:rsid w:val="00DD44BD"/>
    <w:rsid w:val="00DD473B"/>
    <w:rsid w:val="00DD47C8"/>
    <w:rsid w:val="00DD47F2"/>
    <w:rsid w:val="00DD4AE4"/>
    <w:rsid w:val="00DD521C"/>
    <w:rsid w:val="00DD53FB"/>
    <w:rsid w:val="00DD54B5"/>
    <w:rsid w:val="00DD574A"/>
    <w:rsid w:val="00DD5DAD"/>
    <w:rsid w:val="00DD5E0E"/>
    <w:rsid w:val="00DD648B"/>
    <w:rsid w:val="00DD65C4"/>
    <w:rsid w:val="00DD698A"/>
    <w:rsid w:val="00DD6DAC"/>
    <w:rsid w:val="00DD6E53"/>
    <w:rsid w:val="00DD77FE"/>
    <w:rsid w:val="00DD7937"/>
    <w:rsid w:val="00DD7A4B"/>
    <w:rsid w:val="00DD7B6A"/>
    <w:rsid w:val="00DE01C2"/>
    <w:rsid w:val="00DE0447"/>
    <w:rsid w:val="00DE0723"/>
    <w:rsid w:val="00DE0A3D"/>
    <w:rsid w:val="00DE0BA9"/>
    <w:rsid w:val="00DE0CCC"/>
    <w:rsid w:val="00DE11D1"/>
    <w:rsid w:val="00DE14B4"/>
    <w:rsid w:val="00DE1B61"/>
    <w:rsid w:val="00DE1F0B"/>
    <w:rsid w:val="00DE1FA8"/>
    <w:rsid w:val="00DE1FDC"/>
    <w:rsid w:val="00DE213B"/>
    <w:rsid w:val="00DE2B60"/>
    <w:rsid w:val="00DE2CE0"/>
    <w:rsid w:val="00DE30BE"/>
    <w:rsid w:val="00DE324C"/>
    <w:rsid w:val="00DE32CF"/>
    <w:rsid w:val="00DE3487"/>
    <w:rsid w:val="00DE369B"/>
    <w:rsid w:val="00DE37E8"/>
    <w:rsid w:val="00DE3B48"/>
    <w:rsid w:val="00DE41F5"/>
    <w:rsid w:val="00DE454F"/>
    <w:rsid w:val="00DE4562"/>
    <w:rsid w:val="00DE47B1"/>
    <w:rsid w:val="00DE481E"/>
    <w:rsid w:val="00DE4A73"/>
    <w:rsid w:val="00DE4CDE"/>
    <w:rsid w:val="00DE4D55"/>
    <w:rsid w:val="00DE4D72"/>
    <w:rsid w:val="00DE4FC6"/>
    <w:rsid w:val="00DE520F"/>
    <w:rsid w:val="00DE52D4"/>
    <w:rsid w:val="00DE5370"/>
    <w:rsid w:val="00DE5522"/>
    <w:rsid w:val="00DE55C4"/>
    <w:rsid w:val="00DE5623"/>
    <w:rsid w:val="00DE5675"/>
    <w:rsid w:val="00DE5C10"/>
    <w:rsid w:val="00DE5C3D"/>
    <w:rsid w:val="00DE5EF8"/>
    <w:rsid w:val="00DE5FB2"/>
    <w:rsid w:val="00DE67DF"/>
    <w:rsid w:val="00DE6B41"/>
    <w:rsid w:val="00DE7010"/>
    <w:rsid w:val="00DE7671"/>
    <w:rsid w:val="00DE7850"/>
    <w:rsid w:val="00DE7874"/>
    <w:rsid w:val="00DE7930"/>
    <w:rsid w:val="00DF000D"/>
    <w:rsid w:val="00DF03D8"/>
    <w:rsid w:val="00DF0516"/>
    <w:rsid w:val="00DF082E"/>
    <w:rsid w:val="00DF08CA"/>
    <w:rsid w:val="00DF0976"/>
    <w:rsid w:val="00DF0FC0"/>
    <w:rsid w:val="00DF1621"/>
    <w:rsid w:val="00DF18A3"/>
    <w:rsid w:val="00DF2109"/>
    <w:rsid w:val="00DF27C4"/>
    <w:rsid w:val="00DF2988"/>
    <w:rsid w:val="00DF2B85"/>
    <w:rsid w:val="00DF366A"/>
    <w:rsid w:val="00DF37A3"/>
    <w:rsid w:val="00DF3DA3"/>
    <w:rsid w:val="00DF3DA8"/>
    <w:rsid w:val="00DF44BA"/>
    <w:rsid w:val="00DF45F5"/>
    <w:rsid w:val="00DF4701"/>
    <w:rsid w:val="00DF4803"/>
    <w:rsid w:val="00DF4B34"/>
    <w:rsid w:val="00DF50B4"/>
    <w:rsid w:val="00DF534D"/>
    <w:rsid w:val="00DF6672"/>
    <w:rsid w:val="00DF66D4"/>
    <w:rsid w:val="00DF68F2"/>
    <w:rsid w:val="00DF6F9A"/>
    <w:rsid w:val="00DF7048"/>
    <w:rsid w:val="00DF7193"/>
    <w:rsid w:val="00DF7323"/>
    <w:rsid w:val="00DF73D0"/>
    <w:rsid w:val="00DF7459"/>
    <w:rsid w:val="00DF775F"/>
    <w:rsid w:val="00DF7A07"/>
    <w:rsid w:val="00DF7C18"/>
    <w:rsid w:val="00DF7D54"/>
    <w:rsid w:val="00DF7DBE"/>
    <w:rsid w:val="00E000C0"/>
    <w:rsid w:val="00E00561"/>
    <w:rsid w:val="00E005B3"/>
    <w:rsid w:val="00E01085"/>
    <w:rsid w:val="00E011CC"/>
    <w:rsid w:val="00E01296"/>
    <w:rsid w:val="00E01594"/>
    <w:rsid w:val="00E0191C"/>
    <w:rsid w:val="00E01935"/>
    <w:rsid w:val="00E01A48"/>
    <w:rsid w:val="00E01D26"/>
    <w:rsid w:val="00E01FF3"/>
    <w:rsid w:val="00E020C2"/>
    <w:rsid w:val="00E024CE"/>
    <w:rsid w:val="00E027C2"/>
    <w:rsid w:val="00E028B5"/>
    <w:rsid w:val="00E02CE7"/>
    <w:rsid w:val="00E0308C"/>
    <w:rsid w:val="00E03210"/>
    <w:rsid w:val="00E0357F"/>
    <w:rsid w:val="00E03D80"/>
    <w:rsid w:val="00E03EED"/>
    <w:rsid w:val="00E049D2"/>
    <w:rsid w:val="00E04E8F"/>
    <w:rsid w:val="00E04F1E"/>
    <w:rsid w:val="00E04F95"/>
    <w:rsid w:val="00E04FB5"/>
    <w:rsid w:val="00E05046"/>
    <w:rsid w:val="00E05616"/>
    <w:rsid w:val="00E057C3"/>
    <w:rsid w:val="00E0599A"/>
    <w:rsid w:val="00E05E01"/>
    <w:rsid w:val="00E06070"/>
    <w:rsid w:val="00E060C5"/>
    <w:rsid w:val="00E0645C"/>
    <w:rsid w:val="00E0652F"/>
    <w:rsid w:val="00E066EE"/>
    <w:rsid w:val="00E067D2"/>
    <w:rsid w:val="00E0700D"/>
    <w:rsid w:val="00E07122"/>
    <w:rsid w:val="00E07867"/>
    <w:rsid w:val="00E1002E"/>
    <w:rsid w:val="00E105C8"/>
    <w:rsid w:val="00E106B3"/>
    <w:rsid w:val="00E1084F"/>
    <w:rsid w:val="00E109DA"/>
    <w:rsid w:val="00E10B12"/>
    <w:rsid w:val="00E10C64"/>
    <w:rsid w:val="00E10D5C"/>
    <w:rsid w:val="00E10E7E"/>
    <w:rsid w:val="00E10F4F"/>
    <w:rsid w:val="00E111FD"/>
    <w:rsid w:val="00E11886"/>
    <w:rsid w:val="00E1198D"/>
    <w:rsid w:val="00E119AB"/>
    <w:rsid w:val="00E11C2C"/>
    <w:rsid w:val="00E11F29"/>
    <w:rsid w:val="00E12396"/>
    <w:rsid w:val="00E123A0"/>
    <w:rsid w:val="00E12469"/>
    <w:rsid w:val="00E124F8"/>
    <w:rsid w:val="00E1254E"/>
    <w:rsid w:val="00E125C7"/>
    <w:rsid w:val="00E128B6"/>
    <w:rsid w:val="00E12D11"/>
    <w:rsid w:val="00E12DA7"/>
    <w:rsid w:val="00E12F10"/>
    <w:rsid w:val="00E13801"/>
    <w:rsid w:val="00E13C8F"/>
    <w:rsid w:val="00E13DF5"/>
    <w:rsid w:val="00E13E5A"/>
    <w:rsid w:val="00E1495B"/>
    <w:rsid w:val="00E14CAF"/>
    <w:rsid w:val="00E14DBF"/>
    <w:rsid w:val="00E1523F"/>
    <w:rsid w:val="00E15249"/>
    <w:rsid w:val="00E1533F"/>
    <w:rsid w:val="00E15447"/>
    <w:rsid w:val="00E1560E"/>
    <w:rsid w:val="00E15945"/>
    <w:rsid w:val="00E15B52"/>
    <w:rsid w:val="00E15C64"/>
    <w:rsid w:val="00E15E24"/>
    <w:rsid w:val="00E164DD"/>
    <w:rsid w:val="00E16585"/>
    <w:rsid w:val="00E165AD"/>
    <w:rsid w:val="00E16685"/>
    <w:rsid w:val="00E167BF"/>
    <w:rsid w:val="00E16D3F"/>
    <w:rsid w:val="00E17007"/>
    <w:rsid w:val="00E1700D"/>
    <w:rsid w:val="00E1710E"/>
    <w:rsid w:val="00E17236"/>
    <w:rsid w:val="00E174CC"/>
    <w:rsid w:val="00E175B5"/>
    <w:rsid w:val="00E177A5"/>
    <w:rsid w:val="00E17907"/>
    <w:rsid w:val="00E203E7"/>
    <w:rsid w:val="00E20630"/>
    <w:rsid w:val="00E20710"/>
    <w:rsid w:val="00E21763"/>
    <w:rsid w:val="00E21975"/>
    <w:rsid w:val="00E21988"/>
    <w:rsid w:val="00E21B75"/>
    <w:rsid w:val="00E21C26"/>
    <w:rsid w:val="00E21CF3"/>
    <w:rsid w:val="00E2229D"/>
    <w:rsid w:val="00E225C1"/>
    <w:rsid w:val="00E226A0"/>
    <w:rsid w:val="00E22E18"/>
    <w:rsid w:val="00E22E26"/>
    <w:rsid w:val="00E2308A"/>
    <w:rsid w:val="00E2347A"/>
    <w:rsid w:val="00E23735"/>
    <w:rsid w:val="00E237B6"/>
    <w:rsid w:val="00E237F5"/>
    <w:rsid w:val="00E2383F"/>
    <w:rsid w:val="00E239CE"/>
    <w:rsid w:val="00E23A0D"/>
    <w:rsid w:val="00E23A42"/>
    <w:rsid w:val="00E23CFC"/>
    <w:rsid w:val="00E242F7"/>
    <w:rsid w:val="00E24942"/>
    <w:rsid w:val="00E24E88"/>
    <w:rsid w:val="00E25673"/>
    <w:rsid w:val="00E25BBC"/>
    <w:rsid w:val="00E25F86"/>
    <w:rsid w:val="00E25FBC"/>
    <w:rsid w:val="00E25FF3"/>
    <w:rsid w:val="00E26027"/>
    <w:rsid w:val="00E26134"/>
    <w:rsid w:val="00E262E4"/>
    <w:rsid w:val="00E26502"/>
    <w:rsid w:val="00E265D2"/>
    <w:rsid w:val="00E26683"/>
    <w:rsid w:val="00E26812"/>
    <w:rsid w:val="00E26933"/>
    <w:rsid w:val="00E26A16"/>
    <w:rsid w:val="00E26BA3"/>
    <w:rsid w:val="00E26E80"/>
    <w:rsid w:val="00E27120"/>
    <w:rsid w:val="00E2762C"/>
    <w:rsid w:val="00E27B7A"/>
    <w:rsid w:val="00E27BCF"/>
    <w:rsid w:val="00E27C62"/>
    <w:rsid w:val="00E30610"/>
    <w:rsid w:val="00E311FB"/>
    <w:rsid w:val="00E31222"/>
    <w:rsid w:val="00E314B0"/>
    <w:rsid w:val="00E3166B"/>
    <w:rsid w:val="00E31AEC"/>
    <w:rsid w:val="00E3208A"/>
    <w:rsid w:val="00E321F2"/>
    <w:rsid w:val="00E326E4"/>
    <w:rsid w:val="00E32B23"/>
    <w:rsid w:val="00E32D8D"/>
    <w:rsid w:val="00E33351"/>
    <w:rsid w:val="00E33520"/>
    <w:rsid w:val="00E335B7"/>
    <w:rsid w:val="00E33690"/>
    <w:rsid w:val="00E33A0E"/>
    <w:rsid w:val="00E33A30"/>
    <w:rsid w:val="00E3413D"/>
    <w:rsid w:val="00E34158"/>
    <w:rsid w:val="00E34AEB"/>
    <w:rsid w:val="00E34D8E"/>
    <w:rsid w:val="00E3503C"/>
    <w:rsid w:val="00E3523A"/>
    <w:rsid w:val="00E35352"/>
    <w:rsid w:val="00E35533"/>
    <w:rsid w:val="00E35861"/>
    <w:rsid w:val="00E359C3"/>
    <w:rsid w:val="00E35BD8"/>
    <w:rsid w:val="00E35CAF"/>
    <w:rsid w:val="00E35D52"/>
    <w:rsid w:val="00E35F72"/>
    <w:rsid w:val="00E361A1"/>
    <w:rsid w:val="00E363AF"/>
    <w:rsid w:val="00E369F2"/>
    <w:rsid w:val="00E36A11"/>
    <w:rsid w:val="00E3713B"/>
    <w:rsid w:val="00E373B6"/>
    <w:rsid w:val="00E37618"/>
    <w:rsid w:val="00E377F1"/>
    <w:rsid w:val="00E378C7"/>
    <w:rsid w:val="00E37BFE"/>
    <w:rsid w:val="00E37C95"/>
    <w:rsid w:val="00E37DE5"/>
    <w:rsid w:val="00E4029A"/>
    <w:rsid w:val="00E40331"/>
    <w:rsid w:val="00E40376"/>
    <w:rsid w:val="00E4079D"/>
    <w:rsid w:val="00E409A0"/>
    <w:rsid w:val="00E409EC"/>
    <w:rsid w:val="00E40AF4"/>
    <w:rsid w:val="00E40B50"/>
    <w:rsid w:val="00E40C07"/>
    <w:rsid w:val="00E40DC1"/>
    <w:rsid w:val="00E4138A"/>
    <w:rsid w:val="00E416E8"/>
    <w:rsid w:val="00E4181C"/>
    <w:rsid w:val="00E41C1E"/>
    <w:rsid w:val="00E42239"/>
    <w:rsid w:val="00E427AD"/>
    <w:rsid w:val="00E42D6F"/>
    <w:rsid w:val="00E4315F"/>
    <w:rsid w:val="00E4448A"/>
    <w:rsid w:val="00E444A2"/>
    <w:rsid w:val="00E445C9"/>
    <w:rsid w:val="00E446B0"/>
    <w:rsid w:val="00E447C7"/>
    <w:rsid w:val="00E44879"/>
    <w:rsid w:val="00E44CD2"/>
    <w:rsid w:val="00E44F6A"/>
    <w:rsid w:val="00E451FF"/>
    <w:rsid w:val="00E454FF"/>
    <w:rsid w:val="00E4561A"/>
    <w:rsid w:val="00E45929"/>
    <w:rsid w:val="00E45C95"/>
    <w:rsid w:val="00E46099"/>
    <w:rsid w:val="00E4684F"/>
    <w:rsid w:val="00E46B8E"/>
    <w:rsid w:val="00E46D19"/>
    <w:rsid w:val="00E46D85"/>
    <w:rsid w:val="00E47409"/>
    <w:rsid w:val="00E474DB"/>
    <w:rsid w:val="00E47AD7"/>
    <w:rsid w:val="00E47F3A"/>
    <w:rsid w:val="00E47F57"/>
    <w:rsid w:val="00E5024D"/>
    <w:rsid w:val="00E50AEB"/>
    <w:rsid w:val="00E50DDF"/>
    <w:rsid w:val="00E50E69"/>
    <w:rsid w:val="00E50EAD"/>
    <w:rsid w:val="00E50FC0"/>
    <w:rsid w:val="00E512F7"/>
    <w:rsid w:val="00E51510"/>
    <w:rsid w:val="00E515B0"/>
    <w:rsid w:val="00E515E8"/>
    <w:rsid w:val="00E51689"/>
    <w:rsid w:val="00E5180B"/>
    <w:rsid w:val="00E51BF8"/>
    <w:rsid w:val="00E51DFE"/>
    <w:rsid w:val="00E51EB6"/>
    <w:rsid w:val="00E52019"/>
    <w:rsid w:val="00E53557"/>
    <w:rsid w:val="00E53775"/>
    <w:rsid w:val="00E537BE"/>
    <w:rsid w:val="00E53DB0"/>
    <w:rsid w:val="00E53EBD"/>
    <w:rsid w:val="00E5405D"/>
    <w:rsid w:val="00E540A0"/>
    <w:rsid w:val="00E546B3"/>
    <w:rsid w:val="00E55018"/>
    <w:rsid w:val="00E55229"/>
    <w:rsid w:val="00E554C7"/>
    <w:rsid w:val="00E556AF"/>
    <w:rsid w:val="00E5586F"/>
    <w:rsid w:val="00E558F1"/>
    <w:rsid w:val="00E55C32"/>
    <w:rsid w:val="00E56061"/>
    <w:rsid w:val="00E5625A"/>
    <w:rsid w:val="00E56B25"/>
    <w:rsid w:val="00E56CD9"/>
    <w:rsid w:val="00E57183"/>
    <w:rsid w:val="00E573C8"/>
    <w:rsid w:val="00E575EF"/>
    <w:rsid w:val="00E57906"/>
    <w:rsid w:val="00E60228"/>
    <w:rsid w:val="00E60440"/>
    <w:rsid w:val="00E60454"/>
    <w:rsid w:val="00E607CF"/>
    <w:rsid w:val="00E60C9F"/>
    <w:rsid w:val="00E60DDA"/>
    <w:rsid w:val="00E60E55"/>
    <w:rsid w:val="00E60F6E"/>
    <w:rsid w:val="00E6152D"/>
    <w:rsid w:val="00E618A6"/>
    <w:rsid w:val="00E61B8E"/>
    <w:rsid w:val="00E61CE2"/>
    <w:rsid w:val="00E620C9"/>
    <w:rsid w:val="00E62115"/>
    <w:rsid w:val="00E623F2"/>
    <w:rsid w:val="00E62545"/>
    <w:rsid w:val="00E625F2"/>
    <w:rsid w:val="00E626F9"/>
    <w:rsid w:val="00E6275A"/>
    <w:rsid w:val="00E6287C"/>
    <w:rsid w:val="00E628C2"/>
    <w:rsid w:val="00E631BA"/>
    <w:rsid w:val="00E6326C"/>
    <w:rsid w:val="00E6335F"/>
    <w:rsid w:val="00E6336C"/>
    <w:rsid w:val="00E63821"/>
    <w:rsid w:val="00E63E44"/>
    <w:rsid w:val="00E640CC"/>
    <w:rsid w:val="00E644FF"/>
    <w:rsid w:val="00E6463E"/>
    <w:rsid w:val="00E64708"/>
    <w:rsid w:val="00E64D11"/>
    <w:rsid w:val="00E64F4C"/>
    <w:rsid w:val="00E64F50"/>
    <w:rsid w:val="00E64FCA"/>
    <w:rsid w:val="00E651CA"/>
    <w:rsid w:val="00E6539B"/>
    <w:rsid w:val="00E65A02"/>
    <w:rsid w:val="00E65A3B"/>
    <w:rsid w:val="00E65D0A"/>
    <w:rsid w:val="00E65D43"/>
    <w:rsid w:val="00E65F62"/>
    <w:rsid w:val="00E6659E"/>
    <w:rsid w:val="00E66B39"/>
    <w:rsid w:val="00E66C6E"/>
    <w:rsid w:val="00E67135"/>
    <w:rsid w:val="00E6752A"/>
    <w:rsid w:val="00E6767C"/>
    <w:rsid w:val="00E677CF"/>
    <w:rsid w:val="00E67881"/>
    <w:rsid w:val="00E67A91"/>
    <w:rsid w:val="00E67B19"/>
    <w:rsid w:val="00E67BE0"/>
    <w:rsid w:val="00E67CDC"/>
    <w:rsid w:val="00E67DCD"/>
    <w:rsid w:val="00E67ED6"/>
    <w:rsid w:val="00E702D2"/>
    <w:rsid w:val="00E7036E"/>
    <w:rsid w:val="00E7072B"/>
    <w:rsid w:val="00E70A0A"/>
    <w:rsid w:val="00E70ABC"/>
    <w:rsid w:val="00E71500"/>
    <w:rsid w:val="00E715B7"/>
    <w:rsid w:val="00E71A0B"/>
    <w:rsid w:val="00E72021"/>
    <w:rsid w:val="00E720EC"/>
    <w:rsid w:val="00E72A9E"/>
    <w:rsid w:val="00E734FA"/>
    <w:rsid w:val="00E73762"/>
    <w:rsid w:val="00E73B76"/>
    <w:rsid w:val="00E73BD8"/>
    <w:rsid w:val="00E73D65"/>
    <w:rsid w:val="00E73F14"/>
    <w:rsid w:val="00E73FA0"/>
    <w:rsid w:val="00E748CE"/>
    <w:rsid w:val="00E74928"/>
    <w:rsid w:val="00E74A5C"/>
    <w:rsid w:val="00E74B90"/>
    <w:rsid w:val="00E74BDE"/>
    <w:rsid w:val="00E74D8E"/>
    <w:rsid w:val="00E74EFF"/>
    <w:rsid w:val="00E7517D"/>
    <w:rsid w:val="00E7544E"/>
    <w:rsid w:val="00E754F9"/>
    <w:rsid w:val="00E7554B"/>
    <w:rsid w:val="00E75619"/>
    <w:rsid w:val="00E75A7A"/>
    <w:rsid w:val="00E75B9B"/>
    <w:rsid w:val="00E75E84"/>
    <w:rsid w:val="00E76165"/>
    <w:rsid w:val="00E7637E"/>
    <w:rsid w:val="00E763E7"/>
    <w:rsid w:val="00E764B8"/>
    <w:rsid w:val="00E76959"/>
    <w:rsid w:val="00E76B1C"/>
    <w:rsid w:val="00E76C8B"/>
    <w:rsid w:val="00E76D6E"/>
    <w:rsid w:val="00E76E07"/>
    <w:rsid w:val="00E76F61"/>
    <w:rsid w:val="00E76FDF"/>
    <w:rsid w:val="00E774DF"/>
    <w:rsid w:val="00E77BD9"/>
    <w:rsid w:val="00E77D82"/>
    <w:rsid w:val="00E806B0"/>
    <w:rsid w:val="00E80ACD"/>
    <w:rsid w:val="00E80B23"/>
    <w:rsid w:val="00E80BBE"/>
    <w:rsid w:val="00E80E4D"/>
    <w:rsid w:val="00E80F7C"/>
    <w:rsid w:val="00E8131F"/>
    <w:rsid w:val="00E814CF"/>
    <w:rsid w:val="00E81AEA"/>
    <w:rsid w:val="00E81F1B"/>
    <w:rsid w:val="00E82010"/>
    <w:rsid w:val="00E82130"/>
    <w:rsid w:val="00E8216E"/>
    <w:rsid w:val="00E82399"/>
    <w:rsid w:val="00E829A1"/>
    <w:rsid w:val="00E83090"/>
    <w:rsid w:val="00E8318F"/>
    <w:rsid w:val="00E831DF"/>
    <w:rsid w:val="00E83554"/>
    <w:rsid w:val="00E83657"/>
    <w:rsid w:val="00E8376F"/>
    <w:rsid w:val="00E84164"/>
    <w:rsid w:val="00E844EB"/>
    <w:rsid w:val="00E84959"/>
    <w:rsid w:val="00E84A78"/>
    <w:rsid w:val="00E84B91"/>
    <w:rsid w:val="00E84C46"/>
    <w:rsid w:val="00E8575F"/>
    <w:rsid w:val="00E857E0"/>
    <w:rsid w:val="00E85BAD"/>
    <w:rsid w:val="00E85C79"/>
    <w:rsid w:val="00E86023"/>
    <w:rsid w:val="00E860F6"/>
    <w:rsid w:val="00E86523"/>
    <w:rsid w:val="00E867AC"/>
    <w:rsid w:val="00E871DA"/>
    <w:rsid w:val="00E873D5"/>
    <w:rsid w:val="00E87501"/>
    <w:rsid w:val="00E87A1B"/>
    <w:rsid w:val="00E87B4F"/>
    <w:rsid w:val="00E87B5F"/>
    <w:rsid w:val="00E87BA0"/>
    <w:rsid w:val="00E90053"/>
    <w:rsid w:val="00E901C4"/>
    <w:rsid w:val="00E90815"/>
    <w:rsid w:val="00E90945"/>
    <w:rsid w:val="00E90B03"/>
    <w:rsid w:val="00E90D60"/>
    <w:rsid w:val="00E90F91"/>
    <w:rsid w:val="00E91033"/>
    <w:rsid w:val="00E912A6"/>
    <w:rsid w:val="00E91AF1"/>
    <w:rsid w:val="00E9297F"/>
    <w:rsid w:val="00E92B09"/>
    <w:rsid w:val="00E9335C"/>
    <w:rsid w:val="00E93433"/>
    <w:rsid w:val="00E93D35"/>
    <w:rsid w:val="00E93EB7"/>
    <w:rsid w:val="00E9466B"/>
    <w:rsid w:val="00E9470D"/>
    <w:rsid w:val="00E947F8"/>
    <w:rsid w:val="00E949D0"/>
    <w:rsid w:val="00E94A70"/>
    <w:rsid w:val="00E94B43"/>
    <w:rsid w:val="00E9519F"/>
    <w:rsid w:val="00E953E0"/>
    <w:rsid w:val="00E953F2"/>
    <w:rsid w:val="00E9562A"/>
    <w:rsid w:val="00E956CA"/>
    <w:rsid w:val="00E95A1D"/>
    <w:rsid w:val="00E95C3B"/>
    <w:rsid w:val="00E95FB4"/>
    <w:rsid w:val="00E960E4"/>
    <w:rsid w:val="00E964AA"/>
    <w:rsid w:val="00E966B3"/>
    <w:rsid w:val="00E96AE1"/>
    <w:rsid w:val="00E96AFD"/>
    <w:rsid w:val="00E96B17"/>
    <w:rsid w:val="00E97236"/>
    <w:rsid w:val="00E97433"/>
    <w:rsid w:val="00E9749D"/>
    <w:rsid w:val="00E97C1F"/>
    <w:rsid w:val="00E97CC2"/>
    <w:rsid w:val="00E97E83"/>
    <w:rsid w:val="00EA054E"/>
    <w:rsid w:val="00EA077E"/>
    <w:rsid w:val="00EA0E14"/>
    <w:rsid w:val="00EA0E84"/>
    <w:rsid w:val="00EA1509"/>
    <w:rsid w:val="00EA1D0C"/>
    <w:rsid w:val="00EA22EC"/>
    <w:rsid w:val="00EA266A"/>
    <w:rsid w:val="00EA28B6"/>
    <w:rsid w:val="00EA2C9B"/>
    <w:rsid w:val="00EA2D74"/>
    <w:rsid w:val="00EA3077"/>
    <w:rsid w:val="00EA30EE"/>
    <w:rsid w:val="00EA3174"/>
    <w:rsid w:val="00EA33ED"/>
    <w:rsid w:val="00EA365F"/>
    <w:rsid w:val="00EA3AF1"/>
    <w:rsid w:val="00EA3DBD"/>
    <w:rsid w:val="00EA3DEF"/>
    <w:rsid w:val="00EA4693"/>
    <w:rsid w:val="00EA476A"/>
    <w:rsid w:val="00EA4961"/>
    <w:rsid w:val="00EA4A98"/>
    <w:rsid w:val="00EA4BF0"/>
    <w:rsid w:val="00EA4CC2"/>
    <w:rsid w:val="00EA543C"/>
    <w:rsid w:val="00EA547A"/>
    <w:rsid w:val="00EA5868"/>
    <w:rsid w:val="00EA66A7"/>
    <w:rsid w:val="00EA672D"/>
    <w:rsid w:val="00EA6762"/>
    <w:rsid w:val="00EA6B30"/>
    <w:rsid w:val="00EA6DBA"/>
    <w:rsid w:val="00EA70B2"/>
    <w:rsid w:val="00EA720F"/>
    <w:rsid w:val="00EA74A9"/>
    <w:rsid w:val="00EA7BE4"/>
    <w:rsid w:val="00EA7C77"/>
    <w:rsid w:val="00EA7D2D"/>
    <w:rsid w:val="00EA7E08"/>
    <w:rsid w:val="00EA7E5D"/>
    <w:rsid w:val="00EA7EFF"/>
    <w:rsid w:val="00EB0122"/>
    <w:rsid w:val="00EB046B"/>
    <w:rsid w:val="00EB060F"/>
    <w:rsid w:val="00EB096B"/>
    <w:rsid w:val="00EB0B0B"/>
    <w:rsid w:val="00EB12CE"/>
    <w:rsid w:val="00EB17A3"/>
    <w:rsid w:val="00EB1FB4"/>
    <w:rsid w:val="00EB29D4"/>
    <w:rsid w:val="00EB2A8F"/>
    <w:rsid w:val="00EB2ADF"/>
    <w:rsid w:val="00EB2B83"/>
    <w:rsid w:val="00EB2E1C"/>
    <w:rsid w:val="00EB2EA9"/>
    <w:rsid w:val="00EB2ED2"/>
    <w:rsid w:val="00EB2F4B"/>
    <w:rsid w:val="00EB3C6A"/>
    <w:rsid w:val="00EB3CCC"/>
    <w:rsid w:val="00EB4363"/>
    <w:rsid w:val="00EB4802"/>
    <w:rsid w:val="00EB4AE0"/>
    <w:rsid w:val="00EB4B44"/>
    <w:rsid w:val="00EB4C67"/>
    <w:rsid w:val="00EB4DA2"/>
    <w:rsid w:val="00EB4E5A"/>
    <w:rsid w:val="00EB5082"/>
    <w:rsid w:val="00EB532D"/>
    <w:rsid w:val="00EB53BF"/>
    <w:rsid w:val="00EB598A"/>
    <w:rsid w:val="00EB5CAB"/>
    <w:rsid w:val="00EB5CD6"/>
    <w:rsid w:val="00EB5DE2"/>
    <w:rsid w:val="00EB5F72"/>
    <w:rsid w:val="00EB6002"/>
    <w:rsid w:val="00EB606B"/>
    <w:rsid w:val="00EB6ACA"/>
    <w:rsid w:val="00EB6D99"/>
    <w:rsid w:val="00EB6F2D"/>
    <w:rsid w:val="00EB6FB7"/>
    <w:rsid w:val="00EB7338"/>
    <w:rsid w:val="00EB7454"/>
    <w:rsid w:val="00EB7494"/>
    <w:rsid w:val="00EB7521"/>
    <w:rsid w:val="00EB75B0"/>
    <w:rsid w:val="00EB7666"/>
    <w:rsid w:val="00EB7DED"/>
    <w:rsid w:val="00EC0066"/>
    <w:rsid w:val="00EC0145"/>
    <w:rsid w:val="00EC0266"/>
    <w:rsid w:val="00EC09C8"/>
    <w:rsid w:val="00EC0B1E"/>
    <w:rsid w:val="00EC0B61"/>
    <w:rsid w:val="00EC0CCD"/>
    <w:rsid w:val="00EC0F93"/>
    <w:rsid w:val="00EC0F99"/>
    <w:rsid w:val="00EC129E"/>
    <w:rsid w:val="00EC1543"/>
    <w:rsid w:val="00EC1A8E"/>
    <w:rsid w:val="00EC251B"/>
    <w:rsid w:val="00EC2682"/>
    <w:rsid w:val="00EC28C5"/>
    <w:rsid w:val="00EC2995"/>
    <w:rsid w:val="00EC2BF0"/>
    <w:rsid w:val="00EC2C95"/>
    <w:rsid w:val="00EC31BE"/>
    <w:rsid w:val="00EC34EF"/>
    <w:rsid w:val="00EC35CC"/>
    <w:rsid w:val="00EC4100"/>
    <w:rsid w:val="00EC434F"/>
    <w:rsid w:val="00EC4527"/>
    <w:rsid w:val="00EC4928"/>
    <w:rsid w:val="00EC4ABF"/>
    <w:rsid w:val="00EC4AC6"/>
    <w:rsid w:val="00EC4C77"/>
    <w:rsid w:val="00EC4EF1"/>
    <w:rsid w:val="00EC517B"/>
    <w:rsid w:val="00EC5282"/>
    <w:rsid w:val="00EC5328"/>
    <w:rsid w:val="00EC5C51"/>
    <w:rsid w:val="00EC5D2F"/>
    <w:rsid w:val="00EC6558"/>
    <w:rsid w:val="00EC6609"/>
    <w:rsid w:val="00EC6AA7"/>
    <w:rsid w:val="00EC6B15"/>
    <w:rsid w:val="00EC6C5F"/>
    <w:rsid w:val="00EC6C7A"/>
    <w:rsid w:val="00EC6E58"/>
    <w:rsid w:val="00EC6E76"/>
    <w:rsid w:val="00EC7043"/>
    <w:rsid w:val="00EC70BE"/>
    <w:rsid w:val="00EC7128"/>
    <w:rsid w:val="00EC75BA"/>
    <w:rsid w:val="00EC76B8"/>
    <w:rsid w:val="00EC7716"/>
    <w:rsid w:val="00EC7748"/>
    <w:rsid w:val="00EC792B"/>
    <w:rsid w:val="00EC796E"/>
    <w:rsid w:val="00EC7AC5"/>
    <w:rsid w:val="00EC7CE0"/>
    <w:rsid w:val="00EC7DB2"/>
    <w:rsid w:val="00EC7FC6"/>
    <w:rsid w:val="00ED0013"/>
    <w:rsid w:val="00ED079A"/>
    <w:rsid w:val="00ED0B67"/>
    <w:rsid w:val="00ED0E23"/>
    <w:rsid w:val="00ED0ECE"/>
    <w:rsid w:val="00ED0FB6"/>
    <w:rsid w:val="00ED1007"/>
    <w:rsid w:val="00ED12A8"/>
    <w:rsid w:val="00ED14B7"/>
    <w:rsid w:val="00ED18B9"/>
    <w:rsid w:val="00ED19F9"/>
    <w:rsid w:val="00ED1AD2"/>
    <w:rsid w:val="00ED1E68"/>
    <w:rsid w:val="00ED2382"/>
    <w:rsid w:val="00ED27C6"/>
    <w:rsid w:val="00ED2C7E"/>
    <w:rsid w:val="00ED32BB"/>
    <w:rsid w:val="00ED34B8"/>
    <w:rsid w:val="00ED37E5"/>
    <w:rsid w:val="00ED38D9"/>
    <w:rsid w:val="00ED3B00"/>
    <w:rsid w:val="00ED3BBD"/>
    <w:rsid w:val="00ED456B"/>
    <w:rsid w:val="00ED48E7"/>
    <w:rsid w:val="00ED49B2"/>
    <w:rsid w:val="00ED4D04"/>
    <w:rsid w:val="00ED4F37"/>
    <w:rsid w:val="00ED5205"/>
    <w:rsid w:val="00ED5209"/>
    <w:rsid w:val="00ED57D9"/>
    <w:rsid w:val="00ED60C2"/>
    <w:rsid w:val="00ED61F8"/>
    <w:rsid w:val="00ED6276"/>
    <w:rsid w:val="00ED65D9"/>
    <w:rsid w:val="00ED6929"/>
    <w:rsid w:val="00ED6D93"/>
    <w:rsid w:val="00ED731F"/>
    <w:rsid w:val="00ED73DB"/>
    <w:rsid w:val="00ED746D"/>
    <w:rsid w:val="00ED7917"/>
    <w:rsid w:val="00ED7BD9"/>
    <w:rsid w:val="00EE056A"/>
    <w:rsid w:val="00EE07FA"/>
    <w:rsid w:val="00EE0E35"/>
    <w:rsid w:val="00EE116E"/>
    <w:rsid w:val="00EE11E7"/>
    <w:rsid w:val="00EE1BCD"/>
    <w:rsid w:val="00EE21EE"/>
    <w:rsid w:val="00EE225C"/>
    <w:rsid w:val="00EE28D7"/>
    <w:rsid w:val="00EE2978"/>
    <w:rsid w:val="00EE2ABC"/>
    <w:rsid w:val="00EE2AC8"/>
    <w:rsid w:val="00EE2B52"/>
    <w:rsid w:val="00EE3DCE"/>
    <w:rsid w:val="00EE4487"/>
    <w:rsid w:val="00EE510D"/>
    <w:rsid w:val="00EE528F"/>
    <w:rsid w:val="00EE53FA"/>
    <w:rsid w:val="00EE5472"/>
    <w:rsid w:val="00EE56A5"/>
    <w:rsid w:val="00EE56D2"/>
    <w:rsid w:val="00EE572E"/>
    <w:rsid w:val="00EE585C"/>
    <w:rsid w:val="00EE5866"/>
    <w:rsid w:val="00EE586C"/>
    <w:rsid w:val="00EE5B33"/>
    <w:rsid w:val="00EE5B63"/>
    <w:rsid w:val="00EE5D9C"/>
    <w:rsid w:val="00EE5F23"/>
    <w:rsid w:val="00EE6111"/>
    <w:rsid w:val="00EE615B"/>
    <w:rsid w:val="00EE6492"/>
    <w:rsid w:val="00EE66C2"/>
    <w:rsid w:val="00EE69C1"/>
    <w:rsid w:val="00EE7208"/>
    <w:rsid w:val="00EE780E"/>
    <w:rsid w:val="00EE7960"/>
    <w:rsid w:val="00EF0213"/>
    <w:rsid w:val="00EF0953"/>
    <w:rsid w:val="00EF0988"/>
    <w:rsid w:val="00EF0D9B"/>
    <w:rsid w:val="00EF13BC"/>
    <w:rsid w:val="00EF1829"/>
    <w:rsid w:val="00EF1922"/>
    <w:rsid w:val="00EF1A7F"/>
    <w:rsid w:val="00EF1FCA"/>
    <w:rsid w:val="00EF21EA"/>
    <w:rsid w:val="00EF21FA"/>
    <w:rsid w:val="00EF2F9D"/>
    <w:rsid w:val="00EF30E0"/>
    <w:rsid w:val="00EF3249"/>
    <w:rsid w:val="00EF35AC"/>
    <w:rsid w:val="00EF35E0"/>
    <w:rsid w:val="00EF3790"/>
    <w:rsid w:val="00EF3A15"/>
    <w:rsid w:val="00EF4292"/>
    <w:rsid w:val="00EF43DB"/>
    <w:rsid w:val="00EF4430"/>
    <w:rsid w:val="00EF451E"/>
    <w:rsid w:val="00EF501E"/>
    <w:rsid w:val="00EF5051"/>
    <w:rsid w:val="00EF551D"/>
    <w:rsid w:val="00EF56E6"/>
    <w:rsid w:val="00EF5745"/>
    <w:rsid w:val="00EF58ED"/>
    <w:rsid w:val="00EF5B50"/>
    <w:rsid w:val="00EF5D85"/>
    <w:rsid w:val="00EF5EE5"/>
    <w:rsid w:val="00EF60D0"/>
    <w:rsid w:val="00EF6310"/>
    <w:rsid w:val="00EF6527"/>
    <w:rsid w:val="00EF6A12"/>
    <w:rsid w:val="00EF6C41"/>
    <w:rsid w:val="00EF7590"/>
    <w:rsid w:val="00EF760A"/>
    <w:rsid w:val="00EF7A48"/>
    <w:rsid w:val="00F00007"/>
    <w:rsid w:val="00F0004D"/>
    <w:rsid w:val="00F007F2"/>
    <w:rsid w:val="00F00893"/>
    <w:rsid w:val="00F008FD"/>
    <w:rsid w:val="00F010B9"/>
    <w:rsid w:val="00F012A2"/>
    <w:rsid w:val="00F0156E"/>
    <w:rsid w:val="00F017C9"/>
    <w:rsid w:val="00F0189E"/>
    <w:rsid w:val="00F01929"/>
    <w:rsid w:val="00F01CB2"/>
    <w:rsid w:val="00F01D89"/>
    <w:rsid w:val="00F0208E"/>
    <w:rsid w:val="00F02516"/>
    <w:rsid w:val="00F0262E"/>
    <w:rsid w:val="00F02644"/>
    <w:rsid w:val="00F02697"/>
    <w:rsid w:val="00F02A95"/>
    <w:rsid w:val="00F02C0A"/>
    <w:rsid w:val="00F02E46"/>
    <w:rsid w:val="00F02E92"/>
    <w:rsid w:val="00F034DC"/>
    <w:rsid w:val="00F0361D"/>
    <w:rsid w:val="00F03AB6"/>
    <w:rsid w:val="00F03DE2"/>
    <w:rsid w:val="00F04854"/>
    <w:rsid w:val="00F04C05"/>
    <w:rsid w:val="00F04E8E"/>
    <w:rsid w:val="00F04F5E"/>
    <w:rsid w:val="00F061D2"/>
    <w:rsid w:val="00F0634B"/>
    <w:rsid w:val="00F0644B"/>
    <w:rsid w:val="00F064AD"/>
    <w:rsid w:val="00F065FA"/>
    <w:rsid w:val="00F0660F"/>
    <w:rsid w:val="00F06643"/>
    <w:rsid w:val="00F0672F"/>
    <w:rsid w:val="00F068F1"/>
    <w:rsid w:val="00F071D7"/>
    <w:rsid w:val="00F072FC"/>
    <w:rsid w:val="00F07983"/>
    <w:rsid w:val="00F07B32"/>
    <w:rsid w:val="00F07C70"/>
    <w:rsid w:val="00F07EAF"/>
    <w:rsid w:val="00F102AB"/>
    <w:rsid w:val="00F10BAA"/>
    <w:rsid w:val="00F10E6C"/>
    <w:rsid w:val="00F10ED9"/>
    <w:rsid w:val="00F110F9"/>
    <w:rsid w:val="00F1140E"/>
    <w:rsid w:val="00F11427"/>
    <w:rsid w:val="00F116C9"/>
    <w:rsid w:val="00F11894"/>
    <w:rsid w:val="00F11B49"/>
    <w:rsid w:val="00F11DC8"/>
    <w:rsid w:val="00F11E00"/>
    <w:rsid w:val="00F11E75"/>
    <w:rsid w:val="00F11E89"/>
    <w:rsid w:val="00F12457"/>
    <w:rsid w:val="00F125F7"/>
    <w:rsid w:val="00F1271F"/>
    <w:rsid w:val="00F127C6"/>
    <w:rsid w:val="00F12818"/>
    <w:rsid w:val="00F12C6D"/>
    <w:rsid w:val="00F130B2"/>
    <w:rsid w:val="00F13EBF"/>
    <w:rsid w:val="00F14397"/>
    <w:rsid w:val="00F14ADD"/>
    <w:rsid w:val="00F14F0F"/>
    <w:rsid w:val="00F1510B"/>
    <w:rsid w:val="00F1549E"/>
    <w:rsid w:val="00F15565"/>
    <w:rsid w:val="00F157A3"/>
    <w:rsid w:val="00F157D7"/>
    <w:rsid w:val="00F15A83"/>
    <w:rsid w:val="00F15F22"/>
    <w:rsid w:val="00F16548"/>
    <w:rsid w:val="00F1691F"/>
    <w:rsid w:val="00F16AA3"/>
    <w:rsid w:val="00F16B03"/>
    <w:rsid w:val="00F16BE5"/>
    <w:rsid w:val="00F16E45"/>
    <w:rsid w:val="00F16FBA"/>
    <w:rsid w:val="00F17153"/>
    <w:rsid w:val="00F1726F"/>
    <w:rsid w:val="00F17399"/>
    <w:rsid w:val="00F1750C"/>
    <w:rsid w:val="00F17743"/>
    <w:rsid w:val="00F17799"/>
    <w:rsid w:val="00F17B77"/>
    <w:rsid w:val="00F2026A"/>
    <w:rsid w:val="00F202CE"/>
    <w:rsid w:val="00F20654"/>
    <w:rsid w:val="00F207D1"/>
    <w:rsid w:val="00F20B1A"/>
    <w:rsid w:val="00F212A6"/>
    <w:rsid w:val="00F2273F"/>
    <w:rsid w:val="00F228FA"/>
    <w:rsid w:val="00F22948"/>
    <w:rsid w:val="00F22BE4"/>
    <w:rsid w:val="00F230E9"/>
    <w:rsid w:val="00F2315A"/>
    <w:rsid w:val="00F234B5"/>
    <w:rsid w:val="00F2363F"/>
    <w:rsid w:val="00F23CE9"/>
    <w:rsid w:val="00F23E06"/>
    <w:rsid w:val="00F243C6"/>
    <w:rsid w:val="00F247E9"/>
    <w:rsid w:val="00F25493"/>
    <w:rsid w:val="00F258AC"/>
    <w:rsid w:val="00F2598E"/>
    <w:rsid w:val="00F259B9"/>
    <w:rsid w:val="00F26053"/>
    <w:rsid w:val="00F26094"/>
    <w:rsid w:val="00F2618B"/>
    <w:rsid w:val="00F26223"/>
    <w:rsid w:val="00F26318"/>
    <w:rsid w:val="00F26507"/>
    <w:rsid w:val="00F2721A"/>
    <w:rsid w:val="00F27282"/>
    <w:rsid w:val="00F2740A"/>
    <w:rsid w:val="00F2746B"/>
    <w:rsid w:val="00F27F4C"/>
    <w:rsid w:val="00F27FF2"/>
    <w:rsid w:val="00F302C2"/>
    <w:rsid w:val="00F30643"/>
    <w:rsid w:val="00F30A63"/>
    <w:rsid w:val="00F30C75"/>
    <w:rsid w:val="00F312C8"/>
    <w:rsid w:val="00F314CD"/>
    <w:rsid w:val="00F31A0A"/>
    <w:rsid w:val="00F32330"/>
    <w:rsid w:val="00F32347"/>
    <w:rsid w:val="00F326A1"/>
    <w:rsid w:val="00F32836"/>
    <w:rsid w:val="00F32AB8"/>
    <w:rsid w:val="00F32ACD"/>
    <w:rsid w:val="00F32C73"/>
    <w:rsid w:val="00F3305C"/>
    <w:rsid w:val="00F331B8"/>
    <w:rsid w:val="00F33723"/>
    <w:rsid w:val="00F33CF1"/>
    <w:rsid w:val="00F34129"/>
    <w:rsid w:val="00F3448C"/>
    <w:rsid w:val="00F3475A"/>
    <w:rsid w:val="00F349FE"/>
    <w:rsid w:val="00F34C57"/>
    <w:rsid w:val="00F34E76"/>
    <w:rsid w:val="00F35057"/>
    <w:rsid w:val="00F3506B"/>
    <w:rsid w:val="00F35259"/>
    <w:rsid w:val="00F352BD"/>
    <w:rsid w:val="00F3547B"/>
    <w:rsid w:val="00F355CB"/>
    <w:rsid w:val="00F357B3"/>
    <w:rsid w:val="00F3640B"/>
    <w:rsid w:val="00F36419"/>
    <w:rsid w:val="00F367C1"/>
    <w:rsid w:val="00F36951"/>
    <w:rsid w:val="00F37102"/>
    <w:rsid w:val="00F37BA4"/>
    <w:rsid w:val="00F37E60"/>
    <w:rsid w:val="00F401B0"/>
    <w:rsid w:val="00F40383"/>
    <w:rsid w:val="00F40792"/>
    <w:rsid w:val="00F407D5"/>
    <w:rsid w:val="00F40C2E"/>
    <w:rsid w:val="00F413F2"/>
    <w:rsid w:val="00F41794"/>
    <w:rsid w:val="00F419C3"/>
    <w:rsid w:val="00F4220B"/>
    <w:rsid w:val="00F42485"/>
    <w:rsid w:val="00F4277C"/>
    <w:rsid w:val="00F42AE4"/>
    <w:rsid w:val="00F42BB4"/>
    <w:rsid w:val="00F42D4A"/>
    <w:rsid w:val="00F432C9"/>
    <w:rsid w:val="00F43334"/>
    <w:rsid w:val="00F4336A"/>
    <w:rsid w:val="00F433C1"/>
    <w:rsid w:val="00F434A6"/>
    <w:rsid w:val="00F439CE"/>
    <w:rsid w:val="00F43C10"/>
    <w:rsid w:val="00F43EDF"/>
    <w:rsid w:val="00F44026"/>
    <w:rsid w:val="00F442FC"/>
    <w:rsid w:val="00F44725"/>
    <w:rsid w:val="00F4480B"/>
    <w:rsid w:val="00F448E1"/>
    <w:rsid w:val="00F449F1"/>
    <w:rsid w:val="00F44CBC"/>
    <w:rsid w:val="00F44EEE"/>
    <w:rsid w:val="00F45182"/>
    <w:rsid w:val="00F45532"/>
    <w:rsid w:val="00F456A6"/>
    <w:rsid w:val="00F45AE0"/>
    <w:rsid w:val="00F45D3D"/>
    <w:rsid w:val="00F45DCA"/>
    <w:rsid w:val="00F4659F"/>
    <w:rsid w:val="00F46733"/>
    <w:rsid w:val="00F467D8"/>
    <w:rsid w:val="00F469C8"/>
    <w:rsid w:val="00F46A0A"/>
    <w:rsid w:val="00F47096"/>
    <w:rsid w:val="00F470CB"/>
    <w:rsid w:val="00F472D2"/>
    <w:rsid w:val="00F47DF1"/>
    <w:rsid w:val="00F50404"/>
    <w:rsid w:val="00F50589"/>
    <w:rsid w:val="00F50624"/>
    <w:rsid w:val="00F5070A"/>
    <w:rsid w:val="00F50BB1"/>
    <w:rsid w:val="00F50CE1"/>
    <w:rsid w:val="00F51000"/>
    <w:rsid w:val="00F5136C"/>
    <w:rsid w:val="00F518BD"/>
    <w:rsid w:val="00F5222D"/>
    <w:rsid w:val="00F5227F"/>
    <w:rsid w:val="00F52313"/>
    <w:rsid w:val="00F5281F"/>
    <w:rsid w:val="00F52BA8"/>
    <w:rsid w:val="00F52D15"/>
    <w:rsid w:val="00F530AB"/>
    <w:rsid w:val="00F533B4"/>
    <w:rsid w:val="00F537B0"/>
    <w:rsid w:val="00F53873"/>
    <w:rsid w:val="00F54078"/>
    <w:rsid w:val="00F54164"/>
    <w:rsid w:val="00F541B7"/>
    <w:rsid w:val="00F543C2"/>
    <w:rsid w:val="00F54410"/>
    <w:rsid w:val="00F5490D"/>
    <w:rsid w:val="00F54C04"/>
    <w:rsid w:val="00F54CC3"/>
    <w:rsid w:val="00F54CEA"/>
    <w:rsid w:val="00F54F82"/>
    <w:rsid w:val="00F55096"/>
    <w:rsid w:val="00F552EC"/>
    <w:rsid w:val="00F554F5"/>
    <w:rsid w:val="00F55E97"/>
    <w:rsid w:val="00F56426"/>
    <w:rsid w:val="00F5644C"/>
    <w:rsid w:val="00F56812"/>
    <w:rsid w:val="00F56A71"/>
    <w:rsid w:val="00F56BAE"/>
    <w:rsid w:val="00F56C3E"/>
    <w:rsid w:val="00F571B8"/>
    <w:rsid w:val="00F5762B"/>
    <w:rsid w:val="00F57929"/>
    <w:rsid w:val="00F57F0B"/>
    <w:rsid w:val="00F60169"/>
    <w:rsid w:val="00F607FA"/>
    <w:rsid w:val="00F60807"/>
    <w:rsid w:val="00F60989"/>
    <w:rsid w:val="00F60B1C"/>
    <w:rsid w:val="00F60CDA"/>
    <w:rsid w:val="00F60E8A"/>
    <w:rsid w:val="00F60EC1"/>
    <w:rsid w:val="00F60FC8"/>
    <w:rsid w:val="00F610CB"/>
    <w:rsid w:val="00F619B0"/>
    <w:rsid w:val="00F62052"/>
    <w:rsid w:val="00F62102"/>
    <w:rsid w:val="00F625EE"/>
    <w:rsid w:val="00F627C7"/>
    <w:rsid w:val="00F62985"/>
    <w:rsid w:val="00F62A1D"/>
    <w:rsid w:val="00F62C86"/>
    <w:rsid w:val="00F62F66"/>
    <w:rsid w:val="00F630A3"/>
    <w:rsid w:val="00F634BE"/>
    <w:rsid w:val="00F6362E"/>
    <w:rsid w:val="00F6396F"/>
    <w:rsid w:val="00F639C1"/>
    <w:rsid w:val="00F63BCF"/>
    <w:rsid w:val="00F63F9A"/>
    <w:rsid w:val="00F651C4"/>
    <w:rsid w:val="00F651E3"/>
    <w:rsid w:val="00F655CE"/>
    <w:rsid w:val="00F65A0E"/>
    <w:rsid w:val="00F66047"/>
    <w:rsid w:val="00F66161"/>
    <w:rsid w:val="00F66233"/>
    <w:rsid w:val="00F6636C"/>
    <w:rsid w:val="00F663A7"/>
    <w:rsid w:val="00F6670E"/>
    <w:rsid w:val="00F66D2E"/>
    <w:rsid w:val="00F670E4"/>
    <w:rsid w:val="00F672AF"/>
    <w:rsid w:val="00F677DB"/>
    <w:rsid w:val="00F67BDE"/>
    <w:rsid w:val="00F67D6E"/>
    <w:rsid w:val="00F67DBC"/>
    <w:rsid w:val="00F67EFE"/>
    <w:rsid w:val="00F70152"/>
    <w:rsid w:val="00F7015C"/>
    <w:rsid w:val="00F70204"/>
    <w:rsid w:val="00F703FA"/>
    <w:rsid w:val="00F70650"/>
    <w:rsid w:val="00F706F5"/>
    <w:rsid w:val="00F70B11"/>
    <w:rsid w:val="00F70D4A"/>
    <w:rsid w:val="00F70F1B"/>
    <w:rsid w:val="00F71365"/>
    <w:rsid w:val="00F713CA"/>
    <w:rsid w:val="00F714CC"/>
    <w:rsid w:val="00F719E3"/>
    <w:rsid w:val="00F71E3E"/>
    <w:rsid w:val="00F71EC0"/>
    <w:rsid w:val="00F720C2"/>
    <w:rsid w:val="00F726A3"/>
    <w:rsid w:val="00F72821"/>
    <w:rsid w:val="00F72A15"/>
    <w:rsid w:val="00F72C07"/>
    <w:rsid w:val="00F72D93"/>
    <w:rsid w:val="00F72E31"/>
    <w:rsid w:val="00F72E90"/>
    <w:rsid w:val="00F72F12"/>
    <w:rsid w:val="00F72FB4"/>
    <w:rsid w:val="00F735C6"/>
    <w:rsid w:val="00F73672"/>
    <w:rsid w:val="00F73828"/>
    <w:rsid w:val="00F738B7"/>
    <w:rsid w:val="00F73A85"/>
    <w:rsid w:val="00F73DF0"/>
    <w:rsid w:val="00F742F9"/>
    <w:rsid w:val="00F74735"/>
    <w:rsid w:val="00F7497A"/>
    <w:rsid w:val="00F749CA"/>
    <w:rsid w:val="00F74E19"/>
    <w:rsid w:val="00F74E6B"/>
    <w:rsid w:val="00F75062"/>
    <w:rsid w:val="00F75113"/>
    <w:rsid w:val="00F7526D"/>
    <w:rsid w:val="00F753FB"/>
    <w:rsid w:val="00F75624"/>
    <w:rsid w:val="00F7569B"/>
    <w:rsid w:val="00F759E3"/>
    <w:rsid w:val="00F759F2"/>
    <w:rsid w:val="00F75F61"/>
    <w:rsid w:val="00F7610B"/>
    <w:rsid w:val="00F763DF"/>
    <w:rsid w:val="00F76783"/>
    <w:rsid w:val="00F76BAF"/>
    <w:rsid w:val="00F76C9B"/>
    <w:rsid w:val="00F76CCF"/>
    <w:rsid w:val="00F76F8F"/>
    <w:rsid w:val="00F770F3"/>
    <w:rsid w:val="00F7763E"/>
    <w:rsid w:val="00F77795"/>
    <w:rsid w:val="00F77965"/>
    <w:rsid w:val="00F77BD6"/>
    <w:rsid w:val="00F77DB0"/>
    <w:rsid w:val="00F77E7B"/>
    <w:rsid w:val="00F77F81"/>
    <w:rsid w:val="00F77FBD"/>
    <w:rsid w:val="00F803E9"/>
    <w:rsid w:val="00F80486"/>
    <w:rsid w:val="00F804BB"/>
    <w:rsid w:val="00F804F9"/>
    <w:rsid w:val="00F80ABC"/>
    <w:rsid w:val="00F80EB0"/>
    <w:rsid w:val="00F810B2"/>
    <w:rsid w:val="00F817BC"/>
    <w:rsid w:val="00F818AC"/>
    <w:rsid w:val="00F82041"/>
    <w:rsid w:val="00F821C0"/>
    <w:rsid w:val="00F82599"/>
    <w:rsid w:val="00F82688"/>
    <w:rsid w:val="00F829BC"/>
    <w:rsid w:val="00F82DCC"/>
    <w:rsid w:val="00F8321D"/>
    <w:rsid w:val="00F8351D"/>
    <w:rsid w:val="00F838D9"/>
    <w:rsid w:val="00F83CBD"/>
    <w:rsid w:val="00F83FBF"/>
    <w:rsid w:val="00F84185"/>
    <w:rsid w:val="00F84432"/>
    <w:rsid w:val="00F84754"/>
    <w:rsid w:val="00F84758"/>
    <w:rsid w:val="00F84AD3"/>
    <w:rsid w:val="00F84E0A"/>
    <w:rsid w:val="00F84EF6"/>
    <w:rsid w:val="00F851C8"/>
    <w:rsid w:val="00F85561"/>
    <w:rsid w:val="00F8557C"/>
    <w:rsid w:val="00F858AC"/>
    <w:rsid w:val="00F862BB"/>
    <w:rsid w:val="00F862FF"/>
    <w:rsid w:val="00F86591"/>
    <w:rsid w:val="00F86733"/>
    <w:rsid w:val="00F86807"/>
    <w:rsid w:val="00F86BEE"/>
    <w:rsid w:val="00F86DC1"/>
    <w:rsid w:val="00F907B5"/>
    <w:rsid w:val="00F90DF1"/>
    <w:rsid w:val="00F90E60"/>
    <w:rsid w:val="00F90FAA"/>
    <w:rsid w:val="00F912F2"/>
    <w:rsid w:val="00F914CA"/>
    <w:rsid w:val="00F9155C"/>
    <w:rsid w:val="00F915E8"/>
    <w:rsid w:val="00F91E74"/>
    <w:rsid w:val="00F9206E"/>
    <w:rsid w:val="00F92327"/>
    <w:rsid w:val="00F92499"/>
    <w:rsid w:val="00F924C8"/>
    <w:rsid w:val="00F928A1"/>
    <w:rsid w:val="00F92E57"/>
    <w:rsid w:val="00F92F11"/>
    <w:rsid w:val="00F9316E"/>
    <w:rsid w:val="00F93349"/>
    <w:rsid w:val="00F93CAA"/>
    <w:rsid w:val="00F94221"/>
    <w:rsid w:val="00F94340"/>
    <w:rsid w:val="00F94395"/>
    <w:rsid w:val="00F943B4"/>
    <w:rsid w:val="00F94485"/>
    <w:rsid w:val="00F94493"/>
    <w:rsid w:val="00F94539"/>
    <w:rsid w:val="00F94BFE"/>
    <w:rsid w:val="00F94FBA"/>
    <w:rsid w:val="00F951E0"/>
    <w:rsid w:val="00F9556C"/>
    <w:rsid w:val="00F95873"/>
    <w:rsid w:val="00F9598A"/>
    <w:rsid w:val="00F9684E"/>
    <w:rsid w:val="00F970DE"/>
    <w:rsid w:val="00F970EC"/>
    <w:rsid w:val="00F97125"/>
    <w:rsid w:val="00F971AF"/>
    <w:rsid w:val="00F97615"/>
    <w:rsid w:val="00F97B11"/>
    <w:rsid w:val="00FA0085"/>
    <w:rsid w:val="00FA00AD"/>
    <w:rsid w:val="00FA02F7"/>
    <w:rsid w:val="00FA066B"/>
    <w:rsid w:val="00FA0864"/>
    <w:rsid w:val="00FA0BA5"/>
    <w:rsid w:val="00FA0FA8"/>
    <w:rsid w:val="00FA1125"/>
    <w:rsid w:val="00FA16DE"/>
    <w:rsid w:val="00FA16F2"/>
    <w:rsid w:val="00FA1937"/>
    <w:rsid w:val="00FA1A90"/>
    <w:rsid w:val="00FA2A41"/>
    <w:rsid w:val="00FA2A58"/>
    <w:rsid w:val="00FA2B42"/>
    <w:rsid w:val="00FA2C3F"/>
    <w:rsid w:val="00FA2E59"/>
    <w:rsid w:val="00FA321C"/>
    <w:rsid w:val="00FA362F"/>
    <w:rsid w:val="00FA3648"/>
    <w:rsid w:val="00FA3711"/>
    <w:rsid w:val="00FA407B"/>
    <w:rsid w:val="00FA41F9"/>
    <w:rsid w:val="00FA467A"/>
    <w:rsid w:val="00FA4713"/>
    <w:rsid w:val="00FA4E89"/>
    <w:rsid w:val="00FA5017"/>
    <w:rsid w:val="00FA527B"/>
    <w:rsid w:val="00FA571A"/>
    <w:rsid w:val="00FA5F3D"/>
    <w:rsid w:val="00FA6729"/>
    <w:rsid w:val="00FA682A"/>
    <w:rsid w:val="00FA6851"/>
    <w:rsid w:val="00FA6A25"/>
    <w:rsid w:val="00FA6A3D"/>
    <w:rsid w:val="00FA6F54"/>
    <w:rsid w:val="00FA71A4"/>
    <w:rsid w:val="00FA75A3"/>
    <w:rsid w:val="00FA75B7"/>
    <w:rsid w:val="00FA7A81"/>
    <w:rsid w:val="00FA7AFF"/>
    <w:rsid w:val="00FA7ED0"/>
    <w:rsid w:val="00FB00E8"/>
    <w:rsid w:val="00FB0366"/>
    <w:rsid w:val="00FB0D56"/>
    <w:rsid w:val="00FB0F2A"/>
    <w:rsid w:val="00FB16A5"/>
    <w:rsid w:val="00FB17A5"/>
    <w:rsid w:val="00FB17EE"/>
    <w:rsid w:val="00FB1862"/>
    <w:rsid w:val="00FB2012"/>
    <w:rsid w:val="00FB20A2"/>
    <w:rsid w:val="00FB2672"/>
    <w:rsid w:val="00FB273A"/>
    <w:rsid w:val="00FB2EBE"/>
    <w:rsid w:val="00FB31A0"/>
    <w:rsid w:val="00FB3310"/>
    <w:rsid w:val="00FB3672"/>
    <w:rsid w:val="00FB368E"/>
    <w:rsid w:val="00FB3895"/>
    <w:rsid w:val="00FB39B6"/>
    <w:rsid w:val="00FB3AD2"/>
    <w:rsid w:val="00FB3DA3"/>
    <w:rsid w:val="00FB405A"/>
    <w:rsid w:val="00FB43A2"/>
    <w:rsid w:val="00FB4435"/>
    <w:rsid w:val="00FB4700"/>
    <w:rsid w:val="00FB473B"/>
    <w:rsid w:val="00FB4881"/>
    <w:rsid w:val="00FB4922"/>
    <w:rsid w:val="00FB4C75"/>
    <w:rsid w:val="00FB4D63"/>
    <w:rsid w:val="00FB4FED"/>
    <w:rsid w:val="00FB504B"/>
    <w:rsid w:val="00FB529F"/>
    <w:rsid w:val="00FB52F2"/>
    <w:rsid w:val="00FB59C7"/>
    <w:rsid w:val="00FB5E61"/>
    <w:rsid w:val="00FB608D"/>
    <w:rsid w:val="00FB6BC1"/>
    <w:rsid w:val="00FB6BC7"/>
    <w:rsid w:val="00FB6CC0"/>
    <w:rsid w:val="00FB6CF2"/>
    <w:rsid w:val="00FB6D20"/>
    <w:rsid w:val="00FC029D"/>
    <w:rsid w:val="00FC04C0"/>
    <w:rsid w:val="00FC08BC"/>
    <w:rsid w:val="00FC0E38"/>
    <w:rsid w:val="00FC0EBF"/>
    <w:rsid w:val="00FC0FF1"/>
    <w:rsid w:val="00FC0FF9"/>
    <w:rsid w:val="00FC1180"/>
    <w:rsid w:val="00FC1251"/>
    <w:rsid w:val="00FC1383"/>
    <w:rsid w:val="00FC145C"/>
    <w:rsid w:val="00FC152F"/>
    <w:rsid w:val="00FC1563"/>
    <w:rsid w:val="00FC1D9A"/>
    <w:rsid w:val="00FC2073"/>
    <w:rsid w:val="00FC293A"/>
    <w:rsid w:val="00FC2EE1"/>
    <w:rsid w:val="00FC3124"/>
    <w:rsid w:val="00FC3217"/>
    <w:rsid w:val="00FC34CC"/>
    <w:rsid w:val="00FC3742"/>
    <w:rsid w:val="00FC3B7A"/>
    <w:rsid w:val="00FC409C"/>
    <w:rsid w:val="00FC4355"/>
    <w:rsid w:val="00FC450F"/>
    <w:rsid w:val="00FC495C"/>
    <w:rsid w:val="00FC49B7"/>
    <w:rsid w:val="00FC4C2B"/>
    <w:rsid w:val="00FC4EBB"/>
    <w:rsid w:val="00FC5005"/>
    <w:rsid w:val="00FC550D"/>
    <w:rsid w:val="00FC5891"/>
    <w:rsid w:val="00FC5BD9"/>
    <w:rsid w:val="00FC5CD1"/>
    <w:rsid w:val="00FC5E56"/>
    <w:rsid w:val="00FC610A"/>
    <w:rsid w:val="00FC6446"/>
    <w:rsid w:val="00FC6803"/>
    <w:rsid w:val="00FC6A21"/>
    <w:rsid w:val="00FC6B1C"/>
    <w:rsid w:val="00FC6DFD"/>
    <w:rsid w:val="00FC71A3"/>
    <w:rsid w:val="00FC780F"/>
    <w:rsid w:val="00FC797F"/>
    <w:rsid w:val="00FC7BB6"/>
    <w:rsid w:val="00FD0145"/>
    <w:rsid w:val="00FD045A"/>
    <w:rsid w:val="00FD06A4"/>
    <w:rsid w:val="00FD0742"/>
    <w:rsid w:val="00FD076A"/>
    <w:rsid w:val="00FD07ED"/>
    <w:rsid w:val="00FD0958"/>
    <w:rsid w:val="00FD0962"/>
    <w:rsid w:val="00FD0DDD"/>
    <w:rsid w:val="00FD1042"/>
    <w:rsid w:val="00FD10B6"/>
    <w:rsid w:val="00FD1206"/>
    <w:rsid w:val="00FD1601"/>
    <w:rsid w:val="00FD18F7"/>
    <w:rsid w:val="00FD1D01"/>
    <w:rsid w:val="00FD1F06"/>
    <w:rsid w:val="00FD23B4"/>
    <w:rsid w:val="00FD2506"/>
    <w:rsid w:val="00FD2E5B"/>
    <w:rsid w:val="00FD3172"/>
    <w:rsid w:val="00FD3264"/>
    <w:rsid w:val="00FD3671"/>
    <w:rsid w:val="00FD3B01"/>
    <w:rsid w:val="00FD3C7A"/>
    <w:rsid w:val="00FD3CF8"/>
    <w:rsid w:val="00FD3F0F"/>
    <w:rsid w:val="00FD4901"/>
    <w:rsid w:val="00FD4C0D"/>
    <w:rsid w:val="00FD4C23"/>
    <w:rsid w:val="00FD4D36"/>
    <w:rsid w:val="00FD5097"/>
    <w:rsid w:val="00FD51B5"/>
    <w:rsid w:val="00FD58B8"/>
    <w:rsid w:val="00FD5B68"/>
    <w:rsid w:val="00FD6045"/>
    <w:rsid w:val="00FD6222"/>
    <w:rsid w:val="00FD6505"/>
    <w:rsid w:val="00FD6A4E"/>
    <w:rsid w:val="00FD6F3C"/>
    <w:rsid w:val="00FD705E"/>
    <w:rsid w:val="00FD71E9"/>
    <w:rsid w:val="00FD73B9"/>
    <w:rsid w:val="00FD776D"/>
    <w:rsid w:val="00FD77EB"/>
    <w:rsid w:val="00FD7932"/>
    <w:rsid w:val="00FD7958"/>
    <w:rsid w:val="00FD79CC"/>
    <w:rsid w:val="00FE02AA"/>
    <w:rsid w:val="00FE03C2"/>
    <w:rsid w:val="00FE05CB"/>
    <w:rsid w:val="00FE0853"/>
    <w:rsid w:val="00FE1235"/>
    <w:rsid w:val="00FE155A"/>
    <w:rsid w:val="00FE1780"/>
    <w:rsid w:val="00FE1A7C"/>
    <w:rsid w:val="00FE1B9D"/>
    <w:rsid w:val="00FE1BA5"/>
    <w:rsid w:val="00FE1E6B"/>
    <w:rsid w:val="00FE221F"/>
    <w:rsid w:val="00FE287B"/>
    <w:rsid w:val="00FE28EE"/>
    <w:rsid w:val="00FE31BA"/>
    <w:rsid w:val="00FE322A"/>
    <w:rsid w:val="00FE352D"/>
    <w:rsid w:val="00FE3AFB"/>
    <w:rsid w:val="00FE42CF"/>
    <w:rsid w:val="00FE4396"/>
    <w:rsid w:val="00FE4896"/>
    <w:rsid w:val="00FE4CBC"/>
    <w:rsid w:val="00FE4CEC"/>
    <w:rsid w:val="00FE4DD1"/>
    <w:rsid w:val="00FE558D"/>
    <w:rsid w:val="00FE55EA"/>
    <w:rsid w:val="00FE5F0C"/>
    <w:rsid w:val="00FE645D"/>
    <w:rsid w:val="00FE6A3B"/>
    <w:rsid w:val="00FE6E93"/>
    <w:rsid w:val="00FE70D9"/>
    <w:rsid w:val="00FE7649"/>
    <w:rsid w:val="00FE76A5"/>
    <w:rsid w:val="00FE7726"/>
    <w:rsid w:val="00FE7788"/>
    <w:rsid w:val="00FE79B6"/>
    <w:rsid w:val="00FE7B20"/>
    <w:rsid w:val="00FE7E76"/>
    <w:rsid w:val="00FE7F79"/>
    <w:rsid w:val="00FF03AB"/>
    <w:rsid w:val="00FF0562"/>
    <w:rsid w:val="00FF059A"/>
    <w:rsid w:val="00FF097D"/>
    <w:rsid w:val="00FF0A02"/>
    <w:rsid w:val="00FF0ADB"/>
    <w:rsid w:val="00FF0BBC"/>
    <w:rsid w:val="00FF0BBF"/>
    <w:rsid w:val="00FF0C12"/>
    <w:rsid w:val="00FF0DE2"/>
    <w:rsid w:val="00FF0DE4"/>
    <w:rsid w:val="00FF1035"/>
    <w:rsid w:val="00FF11EE"/>
    <w:rsid w:val="00FF1204"/>
    <w:rsid w:val="00FF17B1"/>
    <w:rsid w:val="00FF1C38"/>
    <w:rsid w:val="00FF1FD9"/>
    <w:rsid w:val="00FF20A3"/>
    <w:rsid w:val="00FF2259"/>
    <w:rsid w:val="00FF2BF8"/>
    <w:rsid w:val="00FF2D00"/>
    <w:rsid w:val="00FF2DB9"/>
    <w:rsid w:val="00FF2F20"/>
    <w:rsid w:val="00FF2F44"/>
    <w:rsid w:val="00FF304C"/>
    <w:rsid w:val="00FF30CD"/>
    <w:rsid w:val="00FF31FC"/>
    <w:rsid w:val="00FF33DA"/>
    <w:rsid w:val="00FF34A8"/>
    <w:rsid w:val="00FF3B2F"/>
    <w:rsid w:val="00FF3BBC"/>
    <w:rsid w:val="00FF3EA9"/>
    <w:rsid w:val="00FF4123"/>
    <w:rsid w:val="00FF438C"/>
    <w:rsid w:val="00FF4599"/>
    <w:rsid w:val="00FF4709"/>
    <w:rsid w:val="00FF4756"/>
    <w:rsid w:val="00FF47D8"/>
    <w:rsid w:val="00FF487C"/>
    <w:rsid w:val="00FF4BEC"/>
    <w:rsid w:val="00FF4C6A"/>
    <w:rsid w:val="00FF4F99"/>
    <w:rsid w:val="00FF5136"/>
    <w:rsid w:val="00FF53D2"/>
    <w:rsid w:val="00FF5622"/>
    <w:rsid w:val="00FF5B18"/>
    <w:rsid w:val="00FF5CC3"/>
    <w:rsid w:val="00FF637C"/>
    <w:rsid w:val="00FF66CC"/>
    <w:rsid w:val="00FF6A42"/>
    <w:rsid w:val="00FF6AA6"/>
    <w:rsid w:val="00FF6EF9"/>
    <w:rsid w:val="00FF7893"/>
    <w:rsid w:val="00FF7925"/>
    <w:rsid w:val="00FF7D34"/>
    <w:rsid w:val="042EAE9C"/>
    <w:rsid w:val="043DA164"/>
    <w:rsid w:val="0447F760"/>
    <w:rsid w:val="083418F4"/>
    <w:rsid w:val="0B6549DC"/>
    <w:rsid w:val="10970064"/>
    <w:rsid w:val="1333584D"/>
    <w:rsid w:val="163AB8B2"/>
    <w:rsid w:val="176FB57D"/>
    <w:rsid w:val="1B3F4A74"/>
    <w:rsid w:val="1B869ED4"/>
    <w:rsid w:val="1BD88CB1"/>
    <w:rsid w:val="1BE39363"/>
    <w:rsid w:val="1CC825AF"/>
    <w:rsid w:val="1EA63FAE"/>
    <w:rsid w:val="203BDF62"/>
    <w:rsid w:val="207D897D"/>
    <w:rsid w:val="2093804C"/>
    <w:rsid w:val="2248451C"/>
    <w:rsid w:val="2291142B"/>
    <w:rsid w:val="25153DD4"/>
    <w:rsid w:val="255E6995"/>
    <w:rsid w:val="27083F14"/>
    <w:rsid w:val="28E2CF99"/>
    <w:rsid w:val="29ACA0CB"/>
    <w:rsid w:val="29F45AC7"/>
    <w:rsid w:val="2A87451C"/>
    <w:rsid w:val="2C502078"/>
    <w:rsid w:val="2D47A11B"/>
    <w:rsid w:val="2DD06CBC"/>
    <w:rsid w:val="2EF4C331"/>
    <w:rsid w:val="2F5FA022"/>
    <w:rsid w:val="31AFBD4C"/>
    <w:rsid w:val="35D8DB1E"/>
    <w:rsid w:val="3887197A"/>
    <w:rsid w:val="39AA9079"/>
    <w:rsid w:val="3AA2B3C6"/>
    <w:rsid w:val="3E91BEA7"/>
    <w:rsid w:val="40B3576B"/>
    <w:rsid w:val="437F55DB"/>
    <w:rsid w:val="43B3EA7C"/>
    <w:rsid w:val="47EA88FE"/>
    <w:rsid w:val="4EFB9DEF"/>
    <w:rsid w:val="51CD5D50"/>
    <w:rsid w:val="527482AF"/>
    <w:rsid w:val="5997181A"/>
    <w:rsid w:val="59C21105"/>
    <w:rsid w:val="5B83E8AE"/>
    <w:rsid w:val="5E7D8D04"/>
    <w:rsid w:val="60A05D1C"/>
    <w:rsid w:val="613A0C12"/>
    <w:rsid w:val="61864E6F"/>
    <w:rsid w:val="63D3D5EE"/>
    <w:rsid w:val="63D845F8"/>
    <w:rsid w:val="65EA3F86"/>
    <w:rsid w:val="69FB4936"/>
    <w:rsid w:val="6AF02DC7"/>
    <w:rsid w:val="6D01B43F"/>
    <w:rsid w:val="6D2D415F"/>
    <w:rsid w:val="6F5672FD"/>
    <w:rsid w:val="6FC6717B"/>
    <w:rsid w:val="70B9B321"/>
    <w:rsid w:val="73C091AA"/>
    <w:rsid w:val="76CC6FDA"/>
    <w:rsid w:val="7710508F"/>
    <w:rsid w:val="7A6705D2"/>
    <w:rsid w:val="7F7E3D1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36C30"/>
    <w:pPr>
      <w:spacing w:after="120"/>
      <w:jc w:val="both"/>
    </w:pPr>
    <w:rPr>
      <w:sz w:val="26"/>
    </w:rPr>
  </w:style>
  <w:style w:type="paragraph" w:styleId="Cmsor1">
    <w:name w:val="heading 1"/>
    <w:basedOn w:val="Norml"/>
    <w:next w:val="Norml"/>
    <w:qFormat/>
    <w:pPr>
      <w:keepNext/>
      <w:spacing w:before="240" w:after="60"/>
      <w:outlineLvl w:val="0"/>
    </w:pPr>
    <w:rPr>
      <w:b/>
      <w:kern w:val="28"/>
      <w:sz w:val="30"/>
    </w:rPr>
  </w:style>
  <w:style w:type="paragraph" w:styleId="Cmsor2">
    <w:name w:val="heading 2"/>
    <w:basedOn w:val="Norml"/>
    <w:next w:val="Norml"/>
    <w:link w:val="Cmsor2Char"/>
    <w:qFormat/>
    <w:rsid w:val="000961B9"/>
    <w:pPr>
      <w:keepNext/>
      <w:spacing w:before="240" w:after="60"/>
      <w:jc w:val="center"/>
      <w:outlineLvl w:val="1"/>
    </w:pPr>
    <w:rPr>
      <w:b/>
      <w:iCs/>
      <w:caps/>
    </w:rPr>
  </w:style>
  <w:style w:type="paragraph" w:styleId="Cmsor3">
    <w:name w:val="heading 3"/>
    <w:basedOn w:val="Norml"/>
    <w:next w:val="Norml"/>
    <w:qFormat/>
    <w:pPr>
      <w:keepNext/>
      <w:spacing w:before="240" w:after="60"/>
      <w:jc w:val="center"/>
      <w:outlineLvl w:val="2"/>
    </w:pPr>
    <w:rPr>
      <w:b/>
      <w:bCs/>
      <w:smallCaps/>
      <w:sz w:val="28"/>
    </w:rPr>
  </w:style>
  <w:style w:type="paragraph" w:styleId="Cmsor4">
    <w:name w:val="heading 4"/>
    <w:basedOn w:val="Norml"/>
    <w:next w:val="Norml"/>
    <w:link w:val="Cmsor4Char"/>
    <w:qFormat/>
    <w:pPr>
      <w:keepNext/>
      <w:ind w:left="425" w:hanging="425"/>
      <w:outlineLvl w:val="3"/>
    </w:pPr>
    <w:rPr>
      <w:b/>
    </w:rPr>
  </w:style>
  <w:style w:type="paragraph" w:styleId="Cmsor5">
    <w:name w:val="heading 5"/>
    <w:basedOn w:val="Norml"/>
    <w:next w:val="Norml"/>
    <w:qFormat/>
    <w:pPr>
      <w:keepNext/>
      <w:jc w:val="left"/>
      <w:outlineLvl w:val="4"/>
    </w:pPr>
    <w:rPr>
      <w:b/>
    </w:rPr>
  </w:style>
  <w:style w:type="paragraph" w:styleId="Cmsor6">
    <w:name w:val="heading 6"/>
    <w:basedOn w:val="Norml"/>
    <w:next w:val="Norml"/>
    <w:qFormat/>
    <w:pPr>
      <w:keepNext/>
      <w:ind w:left="567" w:right="-1" w:hanging="567"/>
      <w:outlineLvl w:val="5"/>
    </w:pPr>
    <w:rPr>
      <w:b/>
    </w:rPr>
  </w:style>
  <w:style w:type="paragraph" w:styleId="Cmsor7">
    <w:name w:val="heading 7"/>
    <w:basedOn w:val="Norml"/>
    <w:next w:val="Norml"/>
    <w:qFormat/>
    <w:pPr>
      <w:keepNext/>
      <w:ind w:left="567"/>
      <w:outlineLvl w:val="6"/>
    </w:pPr>
    <w:rPr>
      <w:b/>
    </w:rPr>
  </w:style>
  <w:style w:type="paragraph" w:styleId="Cmsor8">
    <w:name w:val="heading 8"/>
    <w:basedOn w:val="Norml"/>
    <w:next w:val="Norml"/>
    <w:qFormat/>
    <w:pPr>
      <w:keepNext/>
      <w:outlineLvl w:val="7"/>
    </w:pPr>
    <w:rPr>
      <w:b/>
      <w:color w:val="000000"/>
    </w:rPr>
  </w:style>
  <w:style w:type="paragraph" w:styleId="Cmsor9">
    <w:name w:val="heading 9"/>
    <w:basedOn w:val="Norml"/>
    <w:next w:val="Norml"/>
    <w:qFormat/>
    <w:pPr>
      <w:keepNext/>
      <w:tabs>
        <w:tab w:val="left" w:pos="4253"/>
      </w:tabs>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im1">
    <w:name w:val="cim 1"/>
    <w:basedOn w:val="Cmsor1"/>
    <w:pPr>
      <w:outlineLvl w:val="9"/>
    </w:pPr>
  </w:style>
  <w:style w:type="paragraph" w:styleId="lfej">
    <w:name w:val="header"/>
    <w:basedOn w:val="Norml"/>
    <w:link w:val="lfejChar"/>
    <w:uiPriority w:val="99"/>
    <w:pPr>
      <w:tabs>
        <w:tab w:val="center" w:pos="4153"/>
        <w:tab w:val="right" w:pos="8306"/>
      </w:tabs>
    </w:pPr>
  </w:style>
  <w:style w:type="paragraph" w:styleId="llb">
    <w:name w:val="footer"/>
    <w:basedOn w:val="Norml"/>
    <w:link w:val="llbChar"/>
    <w:uiPriority w:val="99"/>
    <w:pPr>
      <w:tabs>
        <w:tab w:val="center" w:pos="4153"/>
        <w:tab w:val="right" w:pos="8306"/>
      </w:tabs>
    </w:pPr>
  </w:style>
  <w:style w:type="paragraph" w:styleId="Alrs">
    <w:name w:val="Signature"/>
    <w:basedOn w:val="Norml"/>
    <w:next w:val="Norml"/>
    <w:pPr>
      <w:ind w:left="3402"/>
      <w:jc w:val="center"/>
    </w:pPr>
    <w:rPr>
      <w:sz w:val="24"/>
    </w:rPr>
  </w:style>
  <w:style w:type="paragraph" w:customStyle="1" w:styleId="felsorols">
    <w:name w:val="felsorolás"/>
    <w:basedOn w:val="Norml"/>
    <w:pPr>
      <w:tabs>
        <w:tab w:val="left" w:pos="360"/>
      </w:tabs>
      <w:ind w:left="284" w:hanging="284"/>
    </w:pPr>
    <w:rPr>
      <w:sz w:val="16"/>
    </w:rPr>
  </w:style>
  <w:style w:type="character" w:styleId="Lbjegyzet-hivatkozs">
    <w:name w:val="footnote reference"/>
    <w:semiHidden/>
    <w:rPr>
      <w:vertAlign w:val="superscript"/>
    </w:rPr>
  </w:style>
  <w:style w:type="paragraph" w:styleId="Lbjegyzetszveg">
    <w:name w:val="footnote text"/>
    <w:basedOn w:val="Norml"/>
    <w:semiHidden/>
    <w:pPr>
      <w:widowControl w:val="0"/>
      <w:jc w:val="left"/>
    </w:pPr>
    <w:rPr>
      <w:sz w:val="20"/>
    </w:rPr>
  </w:style>
  <w:style w:type="paragraph" w:styleId="Szvegtrzs">
    <w:name w:val="Body Text"/>
    <w:basedOn w:val="Norml"/>
    <w:pPr>
      <w:widowControl w:val="0"/>
    </w:pPr>
    <w:rPr>
      <w:color w:val="FF0000"/>
    </w:rPr>
  </w:style>
  <w:style w:type="paragraph" w:styleId="Cm">
    <w:name w:val="Title"/>
    <w:basedOn w:val="Norml"/>
    <w:qFormat/>
    <w:pPr>
      <w:keepNext/>
      <w:widowControl w:val="0"/>
      <w:ind w:right="-1"/>
      <w:jc w:val="center"/>
    </w:pPr>
    <w:rPr>
      <w:b/>
      <w:caps/>
      <w:spacing w:val="60"/>
      <w:sz w:val="32"/>
    </w:rPr>
  </w:style>
  <w:style w:type="paragraph" w:customStyle="1" w:styleId="Szvegtrzs21">
    <w:name w:val="Szövegtörzs 21"/>
    <w:basedOn w:val="Norml"/>
    <w:pPr>
      <w:widowControl w:val="0"/>
      <w:ind w:left="570"/>
    </w:pPr>
  </w:style>
  <w:style w:type="character" w:styleId="Oldalszm">
    <w:name w:val="page number"/>
    <w:basedOn w:val="Bekezdsalapbettpusa"/>
  </w:style>
  <w:style w:type="paragraph" w:customStyle="1" w:styleId="BodyText211">
    <w:name w:val="Body Text 211"/>
    <w:basedOn w:val="Norml"/>
    <w:pPr>
      <w:ind w:left="567"/>
    </w:pPr>
  </w:style>
  <w:style w:type="paragraph" w:customStyle="1" w:styleId="Szvegblokk1">
    <w:name w:val="Szövegblokk1"/>
    <w:basedOn w:val="Norml"/>
    <w:pPr>
      <w:keepNext/>
      <w:ind w:left="360" w:right="-1"/>
    </w:pPr>
  </w:style>
  <w:style w:type="paragraph" w:customStyle="1" w:styleId="BodyText210">
    <w:name w:val="Body Text 210"/>
    <w:basedOn w:val="Norml"/>
    <w:pPr>
      <w:ind w:left="426"/>
    </w:pPr>
  </w:style>
  <w:style w:type="paragraph" w:customStyle="1" w:styleId="Szvegtrzsbehzssal21">
    <w:name w:val="Szövegtörzs behúzással 21"/>
    <w:basedOn w:val="Norml"/>
    <w:pPr>
      <w:ind w:left="567" w:hanging="567"/>
    </w:pPr>
  </w:style>
  <w:style w:type="paragraph" w:customStyle="1" w:styleId="Szvegtrzsbehzssal31">
    <w:name w:val="Szövegtörzs behúzással 31"/>
    <w:basedOn w:val="Norml"/>
    <w:pPr>
      <w:ind w:left="851"/>
    </w:pPr>
  </w:style>
  <w:style w:type="paragraph" w:customStyle="1" w:styleId="BodyText29">
    <w:name w:val="Body Text 29"/>
    <w:basedOn w:val="Norml"/>
    <w:pPr>
      <w:ind w:left="851" w:hanging="284"/>
    </w:pPr>
  </w:style>
  <w:style w:type="paragraph" w:customStyle="1" w:styleId="BodyTextIndent26">
    <w:name w:val="Body Text Indent 26"/>
    <w:basedOn w:val="Norml"/>
    <w:pPr>
      <w:ind w:left="513"/>
    </w:pPr>
  </w:style>
  <w:style w:type="paragraph" w:customStyle="1" w:styleId="BodyTextIndent25">
    <w:name w:val="Body Text Indent 25"/>
    <w:basedOn w:val="Norml"/>
    <w:pPr>
      <w:ind w:left="567" w:hanging="567"/>
    </w:pPr>
  </w:style>
  <w:style w:type="paragraph" w:customStyle="1" w:styleId="BodyText28">
    <w:name w:val="Body Text 28"/>
    <w:basedOn w:val="Norml"/>
    <w:pPr>
      <w:spacing w:after="0"/>
    </w:pPr>
  </w:style>
  <w:style w:type="paragraph" w:customStyle="1" w:styleId="BodyText27">
    <w:name w:val="Body Text 27"/>
    <w:basedOn w:val="Norml"/>
    <w:pPr>
      <w:suppressAutoHyphens/>
      <w:ind w:left="1560"/>
    </w:pPr>
    <w:rPr>
      <w:sz w:val="22"/>
    </w:rPr>
  </w:style>
  <w:style w:type="paragraph" w:customStyle="1" w:styleId="BodyText26">
    <w:name w:val="Body Text 26"/>
    <w:basedOn w:val="Norml"/>
    <w:pPr>
      <w:ind w:left="992" w:hanging="425"/>
    </w:pPr>
  </w:style>
  <w:style w:type="paragraph" w:customStyle="1" w:styleId="BodyTextIndent24">
    <w:name w:val="Body Text Indent 24"/>
    <w:basedOn w:val="Norml"/>
    <w:pPr>
      <w:ind w:left="567"/>
    </w:pPr>
    <w:rPr>
      <w:b/>
    </w:rPr>
  </w:style>
  <w:style w:type="paragraph" w:customStyle="1" w:styleId="BodyText25">
    <w:name w:val="Body Text 25"/>
    <w:basedOn w:val="Norml"/>
    <w:pPr>
      <w:ind w:left="567"/>
    </w:pPr>
  </w:style>
  <w:style w:type="paragraph" w:customStyle="1" w:styleId="BodyText24">
    <w:name w:val="Body Text 24"/>
    <w:basedOn w:val="Norml"/>
    <w:pPr>
      <w:ind w:left="567"/>
    </w:pPr>
  </w:style>
  <w:style w:type="paragraph" w:customStyle="1" w:styleId="BodyText23">
    <w:name w:val="Body Text 23"/>
    <w:basedOn w:val="Norml"/>
    <w:pPr>
      <w:ind w:left="540"/>
    </w:pPr>
  </w:style>
  <w:style w:type="paragraph" w:customStyle="1" w:styleId="BodyTextIndent23">
    <w:name w:val="Body Text Indent 23"/>
    <w:basedOn w:val="Norml"/>
    <w:pPr>
      <w:ind w:left="426" w:hanging="426"/>
    </w:pPr>
  </w:style>
  <w:style w:type="character" w:styleId="Vgjegyzet-hivatkozs">
    <w:name w:val="endnote reference"/>
    <w:semiHidden/>
    <w:rPr>
      <w:vertAlign w:val="superscript"/>
    </w:rPr>
  </w:style>
  <w:style w:type="paragraph" w:customStyle="1" w:styleId="BlockText1">
    <w:name w:val="Block Text1"/>
    <w:basedOn w:val="Norml"/>
    <w:pPr>
      <w:ind w:left="425" w:right="284"/>
    </w:pPr>
    <w:rPr>
      <w:sz w:val="22"/>
    </w:rPr>
  </w:style>
  <w:style w:type="paragraph" w:customStyle="1" w:styleId="BodyText21">
    <w:name w:val="Body Text 21"/>
    <w:basedOn w:val="Norml"/>
    <w:pPr>
      <w:tabs>
        <w:tab w:val="left" w:pos="2694"/>
      </w:tabs>
      <w:ind w:left="360"/>
    </w:pPr>
  </w:style>
  <w:style w:type="paragraph" w:customStyle="1" w:styleId="BodyTextIndent22">
    <w:name w:val="Body Text Indent 22"/>
    <w:basedOn w:val="Norml"/>
    <w:pPr>
      <w:tabs>
        <w:tab w:val="left" w:pos="2694"/>
      </w:tabs>
      <w:ind w:left="709"/>
    </w:pPr>
  </w:style>
  <w:style w:type="paragraph" w:customStyle="1" w:styleId="BodyTextIndent21">
    <w:name w:val="Body Text Indent 21"/>
    <w:basedOn w:val="Norml"/>
    <w:pPr>
      <w:spacing w:after="0"/>
      <w:ind w:left="567"/>
    </w:pPr>
    <w:rPr>
      <w:sz w:val="24"/>
    </w:rPr>
  </w:style>
  <w:style w:type="paragraph" w:styleId="Szvegtrzs2">
    <w:name w:val="Body Text 2"/>
    <w:basedOn w:val="Norml"/>
    <w:pPr>
      <w:keepNext/>
      <w:tabs>
        <w:tab w:val="left" w:pos="2694"/>
      </w:tabs>
      <w:jc w:val="center"/>
    </w:pPr>
    <w:rPr>
      <w:b/>
      <w:caps/>
    </w:rPr>
  </w:style>
  <w:style w:type="paragraph" w:styleId="Szvegtrzsbehzssal2">
    <w:name w:val="Body Text Indent 2"/>
    <w:basedOn w:val="Norml"/>
    <w:pPr>
      <w:ind w:left="1134"/>
    </w:pPr>
    <w:rPr>
      <w:sz w:val="22"/>
    </w:rPr>
  </w:style>
  <w:style w:type="paragraph" w:styleId="Szvegtrzsbehzssal">
    <w:name w:val="Body Text Indent"/>
    <w:basedOn w:val="Norml"/>
    <w:pPr>
      <w:spacing w:after="0"/>
      <w:ind w:left="709"/>
    </w:pPr>
    <w:rPr>
      <w:i/>
      <w:iCs/>
      <w:sz w:val="28"/>
    </w:rPr>
  </w:style>
  <w:style w:type="paragraph" w:styleId="Szvegtrzsbehzssal3">
    <w:name w:val="Body Text Indent 3"/>
    <w:basedOn w:val="Norml"/>
    <w:pPr>
      <w:ind w:left="1134"/>
    </w:pPr>
    <w:rPr>
      <w:sz w:val="24"/>
    </w:rPr>
  </w:style>
  <w:style w:type="paragraph" w:styleId="Szvegblokk">
    <w:name w:val="Block Text"/>
    <w:basedOn w:val="Norml"/>
    <w:pPr>
      <w:ind w:left="-180" w:right="-108"/>
    </w:pPr>
  </w:style>
  <w:style w:type="paragraph" w:styleId="Kpalrs">
    <w:name w:val="caption"/>
    <w:basedOn w:val="Norml"/>
    <w:next w:val="Norml"/>
    <w:qFormat/>
    <w:pPr>
      <w:numPr>
        <w:numId w:val="1"/>
      </w:numPr>
      <w:spacing w:after="0"/>
      <w:ind w:right="282"/>
    </w:pPr>
    <w:rPr>
      <w:b/>
      <w:bCs/>
      <w:sz w:val="28"/>
      <w:u w:val="single"/>
    </w:rPr>
  </w:style>
  <w:style w:type="paragraph" w:styleId="Szvegtrzs3">
    <w:name w:val="Body Text 3"/>
    <w:basedOn w:val="Norml"/>
    <w:link w:val="Szvegtrzs3Char"/>
    <w:pPr>
      <w:ind w:right="-57"/>
    </w:pPr>
  </w:style>
  <w:style w:type="paragraph" w:customStyle="1" w:styleId="Szvegtrzs1">
    <w:name w:val="Szövegtörzs1"/>
    <w:basedOn w:val="Norml"/>
    <w:pPr>
      <w:spacing w:after="0"/>
    </w:pPr>
    <w:rPr>
      <w:i/>
      <w:sz w:val="28"/>
    </w:rPr>
  </w:style>
  <w:style w:type="paragraph" w:styleId="Alcm">
    <w:name w:val="Subtitle"/>
    <w:basedOn w:val="Norml"/>
    <w:qFormat/>
    <w:pPr>
      <w:spacing w:after="0"/>
      <w:jc w:val="left"/>
    </w:pPr>
    <w:rPr>
      <w:rFonts w:ascii="Arial" w:hAnsi="Arial"/>
      <w:i/>
      <w:sz w:val="24"/>
    </w:rPr>
  </w:style>
  <w:style w:type="paragraph" w:customStyle="1" w:styleId="BodyText22">
    <w:name w:val="Body Text 22"/>
    <w:basedOn w:val="Norml"/>
    <w:rPr>
      <w:sz w:val="24"/>
    </w:rPr>
  </w:style>
  <w:style w:type="character" w:styleId="Hiperhivatkozs">
    <w:name w:val="Hyperlink"/>
    <w:rsid w:val="00C743EC"/>
    <w:rPr>
      <w:color w:val="000000"/>
      <w:u w:val="single"/>
    </w:rPr>
  </w:style>
  <w:style w:type="paragraph" w:customStyle="1" w:styleId="StlusCmsor3Utna12pt">
    <w:name w:val="Stílus Címsor 3 + Utána:  12 pt"/>
    <w:basedOn w:val="Cmsor3"/>
    <w:rsid w:val="00F630A3"/>
    <w:pPr>
      <w:spacing w:after="240"/>
    </w:pPr>
  </w:style>
  <w:style w:type="paragraph" w:styleId="Buborkszveg">
    <w:name w:val="Balloon Text"/>
    <w:basedOn w:val="Norml"/>
    <w:semiHidden/>
    <w:rsid w:val="00187693"/>
    <w:pPr>
      <w:suppressAutoHyphens/>
    </w:pPr>
    <w:rPr>
      <w:rFonts w:ascii="Tahoma" w:hAnsi="Tahoma" w:cs="Tahoma"/>
      <w:sz w:val="16"/>
      <w:szCs w:val="16"/>
    </w:rPr>
  </w:style>
  <w:style w:type="paragraph" w:customStyle="1" w:styleId="bodytext2">
    <w:name w:val="bodytext2"/>
    <w:basedOn w:val="Norml"/>
    <w:rsid w:val="00FD0145"/>
    <w:pPr>
      <w:overflowPunct w:val="0"/>
      <w:autoSpaceDE w:val="0"/>
      <w:autoSpaceDN w:val="0"/>
      <w:ind w:left="360"/>
    </w:pPr>
    <w:rPr>
      <w:szCs w:val="26"/>
    </w:rPr>
  </w:style>
  <w:style w:type="character" w:customStyle="1" w:styleId="pm">
    <w:name w:val="pm"/>
    <w:semiHidden/>
    <w:rsid w:val="003F2FB9"/>
    <w:rPr>
      <w:rFonts w:ascii="Arial" w:hAnsi="Arial" w:cs="Arial"/>
      <w:color w:val="auto"/>
      <w:sz w:val="20"/>
      <w:szCs w:val="20"/>
    </w:rPr>
  </w:style>
  <w:style w:type="table" w:styleId="Rcsostblzat">
    <w:name w:val="Table Grid"/>
    <w:basedOn w:val="Normltblzat"/>
    <w:uiPriority w:val="59"/>
    <w:rsid w:val="0028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3Char">
    <w:name w:val="Szövegtörzs 3 Char"/>
    <w:link w:val="Szvegtrzs3"/>
    <w:rsid w:val="003149E2"/>
    <w:rPr>
      <w:sz w:val="26"/>
    </w:rPr>
  </w:style>
  <w:style w:type="paragraph" w:styleId="Listaszerbekezds">
    <w:name w:val="List Paragraph"/>
    <w:basedOn w:val="Norml"/>
    <w:uiPriority w:val="34"/>
    <w:qFormat/>
    <w:rsid w:val="00947BCD"/>
    <w:pPr>
      <w:spacing w:after="200" w:line="276" w:lineRule="auto"/>
      <w:ind w:left="720"/>
      <w:contextualSpacing/>
      <w:jc w:val="left"/>
    </w:pPr>
    <w:rPr>
      <w:rFonts w:ascii="Calibri" w:eastAsia="Calibri" w:hAnsi="Calibri"/>
      <w:sz w:val="22"/>
      <w:szCs w:val="22"/>
      <w:lang w:eastAsia="en-US"/>
    </w:rPr>
  </w:style>
  <w:style w:type="paragraph" w:customStyle="1" w:styleId="Szvegtrzs210">
    <w:name w:val="Szövegtörzs 210"/>
    <w:basedOn w:val="Norml"/>
    <w:rsid w:val="009271B4"/>
    <w:pPr>
      <w:widowControl w:val="0"/>
      <w:ind w:left="570"/>
    </w:pPr>
    <w:rPr>
      <w:rFonts w:ascii="Times" w:hAnsi="Times"/>
    </w:rPr>
  </w:style>
  <w:style w:type="character" w:customStyle="1" w:styleId="Cmsor4Char">
    <w:name w:val="Címsor 4 Char"/>
    <w:link w:val="Cmsor4"/>
    <w:rsid w:val="000C18B6"/>
    <w:rPr>
      <w:b/>
      <w:sz w:val="26"/>
    </w:rPr>
  </w:style>
  <w:style w:type="character" w:customStyle="1" w:styleId="llbChar">
    <w:name w:val="Élőláb Char"/>
    <w:link w:val="llb"/>
    <w:uiPriority w:val="99"/>
    <w:rsid w:val="00700449"/>
    <w:rPr>
      <w:sz w:val="26"/>
    </w:rPr>
  </w:style>
  <w:style w:type="character" w:styleId="Kiemels">
    <w:name w:val="Emphasis"/>
    <w:uiPriority w:val="20"/>
    <w:qFormat/>
    <w:rsid w:val="006D4536"/>
    <w:rPr>
      <w:b/>
      <w:bCs/>
      <w:i w:val="0"/>
      <w:iCs w:val="0"/>
    </w:rPr>
  </w:style>
  <w:style w:type="character" w:customStyle="1" w:styleId="st">
    <w:name w:val="st"/>
    <w:rsid w:val="006D4536"/>
  </w:style>
  <w:style w:type="character" w:styleId="Jegyzethivatkozs">
    <w:name w:val="annotation reference"/>
    <w:uiPriority w:val="99"/>
    <w:rsid w:val="003908B8"/>
    <w:rPr>
      <w:sz w:val="16"/>
      <w:szCs w:val="16"/>
    </w:rPr>
  </w:style>
  <w:style w:type="paragraph" w:styleId="Jegyzetszveg">
    <w:name w:val="annotation text"/>
    <w:basedOn w:val="Norml"/>
    <w:link w:val="JegyzetszvegChar"/>
    <w:rsid w:val="003908B8"/>
    <w:rPr>
      <w:sz w:val="20"/>
    </w:rPr>
  </w:style>
  <w:style w:type="character" w:customStyle="1" w:styleId="JegyzetszvegChar">
    <w:name w:val="Jegyzetszöveg Char"/>
    <w:basedOn w:val="Bekezdsalapbettpusa"/>
    <w:link w:val="Jegyzetszveg"/>
    <w:rsid w:val="003908B8"/>
  </w:style>
  <w:style w:type="paragraph" w:styleId="Megjegyzstrgya">
    <w:name w:val="annotation subject"/>
    <w:basedOn w:val="Jegyzetszveg"/>
    <w:next w:val="Jegyzetszveg"/>
    <w:link w:val="MegjegyzstrgyaChar"/>
    <w:rsid w:val="003908B8"/>
    <w:rPr>
      <w:b/>
      <w:bCs/>
    </w:rPr>
  </w:style>
  <w:style w:type="character" w:customStyle="1" w:styleId="MegjegyzstrgyaChar">
    <w:name w:val="Megjegyzés tárgya Char"/>
    <w:link w:val="Megjegyzstrgya"/>
    <w:rsid w:val="003908B8"/>
    <w:rPr>
      <w:b/>
      <w:bCs/>
    </w:rPr>
  </w:style>
  <w:style w:type="paragraph" w:styleId="NormlWeb">
    <w:name w:val="Normal (Web)"/>
    <w:basedOn w:val="Norml"/>
    <w:uiPriority w:val="99"/>
    <w:unhideWhenUsed/>
    <w:rsid w:val="00F15565"/>
    <w:pPr>
      <w:spacing w:before="100" w:beforeAutospacing="1" w:after="100" w:afterAutospacing="1"/>
      <w:jc w:val="left"/>
    </w:pPr>
    <w:rPr>
      <w:sz w:val="24"/>
      <w:szCs w:val="24"/>
    </w:rPr>
  </w:style>
  <w:style w:type="paragraph" w:customStyle="1" w:styleId="lead">
    <w:name w:val="lead"/>
    <w:basedOn w:val="Norml"/>
    <w:rsid w:val="00F15565"/>
    <w:pPr>
      <w:spacing w:before="100" w:beforeAutospacing="1" w:after="100" w:afterAutospacing="1"/>
      <w:jc w:val="left"/>
    </w:pPr>
    <w:rPr>
      <w:sz w:val="24"/>
      <w:szCs w:val="24"/>
    </w:rPr>
  </w:style>
  <w:style w:type="character" w:customStyle="1" w:styleId="lfejChar">
    <w:name w:val="Élőfej Char"/>
    <w:link w:val="lfej"/>
    <w:uiPriority w:val="99"/>
    <w:rsid w:val="00881044"/>
    <w:rPr>
      <w:sz w:val="26"/>
    </w:rPr>
  </w:style>
  <w:style w:type="paragraph" w:customStyle="1" w:styleId="Default">
    <w:name w:val="Default"/>
    <w:rsid w:val="00737A62"/>
    <w:pPr>
      <w:autoSpaceDE w:val="0"/>
      <w:autoSpaceDN w:val="0"/>
      <w:adjustRightInd w:val="0"/>
    </w:pPr>
    <w:rPr>
      <w:rFonts w:ascii="Myriad Pro" w:eastAsiaTheme="minorHAnsi" w:hAnsi="Myriad Pro" w:cs="Myriad Pro"/>
      <w:color w:val="000000"/>
      <w:sz w:val="24"/>
      <w:szCs w:val="24"/>
      <w:lang w:eastAsia="en-US"/>
    </w:rPr>
  </w:style>
  <w:style w:type="table" w:customStyle="1" w:styleId="Tblzatrcsos1vilgos1jellszn1">
    <w:name w:val="Táblázat (rácsos) 1 – világos – 1. jelölőszín1"/>
    <w:basedOn w:val="Normltblzat"/>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1">
    <w:name w:val="normaltextrun1"/>
    <w:basedOn w:val="Bekezdsalapbettpusa"/>
    <w:rsid w:val="002D550F"/>
  </w:style>
  <w:style w:type="character" w:customStyle="1" w:styleId="Cmsor2Char">
    <w:name w:val="Címsor 2 Char"/>
    <w:basedOn w:val="Bekezdsalapbettpusa"/>
    <w:link w:val="Cmsor2"/>
    <w:rsid w:val="0083067D"/>
    <w:rPr>
      <w:b/>
      <w:iCs/>
      <w:cap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rmal Table" w:semiHidden="0" w:unhideWhenUsed="0"/>
    <w:lsdException w:name="No List" w:uiPriority="99"/>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36C30"/>
    <w:pPr>
      <w:spacing w:after="120"/>
      <w:jc w:val="both"/>
    </w:pPr>
    <w:rPr>
      <w:sz w:val="26"/>
    </w:rPr>
  </w:style>
  <w:style w:type="paragraph" w:styleId="Cmsor1">
    <w:name w:val="heading 1"/>
    <w:basedOn w:val="Norml"/>
    <w:next w:val="Norml"/>
    <w:qFormat/>
    <w:pPr>
      <w:keepNext/>
      <w:spacing w:before="240" w:after="60"/>
      <w:outlineLvl w:val="0"/>
    </w:pPr>
    <w:rPr>
      <w:b/>
      <w:kern w:val="28"/>
      <w:sz w:val="30"/>
    </w:rPr>
  </w:style>
  <w:style w:type="paragraph" w:styleId="Cmsor2">
    <w:name w:val="heading 2"/>
    <w:basedOn w:val="Norml"/>
    <w:next w:val="Norml"/>
    <w:link w:val="Cmsor2Char"/>
    <w:qFormat/>
    <w:rsid w:val="000961B9"/>
    <w:pPr>
      <w:keepNext/>
      <w:spacing w:before="240" w:after="60"/>
      <w:jc w:val="center"/>
      <w:outlineLvl w:val="1"/>
    </w:pPr>
    <w:rPr>
      <w:b/>
      <w:iCs/>
      <w:caps/>
    </w:rPr>
  </w:style>
  <w:style w:type="paragraph" w:styleId="Cmsor3">
    <w:name w:val="heading 3"/>
    <w:basedOn w:val="Norml"/>
    <w:next w:val="Norml"/>
    <w:qFormat/>
    <w:pPr>
      <w:keepNext/>
      <w:spacing w:before="240" w:after="60"/>
      <w:jc w:val="center"/>
      <w:outlineLvl w:val="2"/>
    </w:pPr>
    <w:rPr>
      <w:b/>
      <w:bCs/>
      <w:smallCaps/>
      <w:sz w:val="28"/>
    </w:rPr>
  </w:style>
  <w:style w:type="paragraph" w:styleId="Cmsor4">
    <w:name w:val="heading 4"/>
    <w:basedOn w:val="Norml"/>
    <w:next w:val="Norml"/>
    <w:link w:val="Cmsor4Char"/>
    <w:qFormat/>
    <w:pPr>
      <w:keepNext/>
      <w:ind w:left="425" w:hanging="425"/>
      <w:outlineLvl w:val="3"/>
    </w:pPr>
    <w:rPr>
      <w:b/>
    </w:rPr>
  </w:style>
  <w:style w:type="paragraph" w:styleId="Cmsor5">
    <w:name w:val="heading 5"/>
    <w:basedOn w:val="Norml"/>
    <w:next w:val="Norml"/>
    <w:qFormat/>
    <w:pPr>
      <w:keepNext/>
      <w:jc w:val="left"/>
      <w:outlineLvl w:val="4"/>
    </w:pPr>
    <w:rPr>
      <w:b/>
    </w:rPr>
  </w:style>
  <w:style w:type="paragraph" w:styleId="Cmsor6">
    <w:name w:val="heading 6"/>
    <w:basedOn w:val="Norml"/>
    <w:next w:val="Norml"/>
    <w:qFormat/>
    <w:pPr>
      <w:keepNext/>
      <w:ind w:left="567" w:right="-1" w:hanging="567"/>
      <w:outlineLvl w:val="5"/>
    </w:pPr>
    <w:rPr>
      <w:b/>
    </w:rPr>
  </w:style>
  <w:style w:type="paragraph" w:styleId="Cmsor7">
    <w:name w:val="heading 7"/>
    <w:basedOn w:val="Norml"/>
    <w:next w:val="Norml"/>
    <w:qFormat/>
    <w:pPr>
      <w:keepNext/>
      <w:ind w:left="567"/>
      <w:outlineLvl w:val="6"/>
    </w:pPr>
    <w:rPr>
      <w:b/>
    </w:rPr>
  </w:style>
  <w:style w:type="paragraph" w:styleId="Cmsor8">
    <w:name w:val="heading 8"/>
    <w:basedOn w:val="Norml"/>
    <w:next w:val="Norml"/>
    <w:qFormat/>
    <w:pPr>
      <w:keepNext/>
      <w:outlineLvl w:val="7"/>
    </w:pPr>
    <w:rPr>
      <w:b/>
      <w:color w:val="000000"/>
    </w:rPr>
  </w:style>
  <w:style w:type="paragraph" w:styleId="Cmsor9">
    <w:name w:val="heading 9"/>
    <w:basedOn w:val="Norml"/>
    <w:next w:val="Norml"/>
    <w:qFormat/>
    <w:pPr>
      <w:keepNext/>
      <w:tabs>
        <w:tab w:val="left" w:pos="4253"/>
      </w:tabs>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im1">
    <w:name w:val="cim 1"/>
    <w:basedOn w:val="Cmsor1"/>
    <w:pPr>
      <w:outlineLvl w:val="9"/>
    </w:pPr>
  </w:style>
  <w:style w:type="paragraph" w:styleId="lfej">
    <w:name w:val="header"/>
    <w:basedOn w:val="Norml"/>
    <w:link w:val="lfejChar"/>
    <w:uiPriority w:val="99"/>
    <w:pPr>
      <w:tabs>
        <w:tab w:val="center" w:pos="4153"/>
        <w:tab w:val="right" w:pos="8306"/>
      </w:tabs>
    </w:pPr>
  </w:style>
  <w:style w:type="paragraph" w:styleId="llb">
    <w:name w:val="footer"/>
    <w:basedOn w:val="Norml"/>
    <w:link w:val="llbChar"/>
    <w:uiPriority w:val="99"/>
    <w:pPr>
      <w:tabs>
        <w:tab w:val="center" w:pos="4153"/>
        <w:tab w:val="right" w:pos="8306"/>
      </w:tabs>
    </w:pPr>
  </w:style>
  <w:style w:type="paragraph" w:styleId="Alrs">
    <w:name w:val="Signature"/>
    <w:basedOn w:val="Norml"/>
    <w:next w:val="Norml"/>
    <w:pPr>
      <w:ind w:left="3402"/>
      <w:jc w:val="center"/>
    </w:pPr>
    <w:rPr>
      <w:sz w:val="24"/>
    </w:rPr>
  </w:style>
  <w:style w:type="paragraph" w:customStyle="1" w:styleId="felsorols">
    <w:name w:val="felsorolás"/>
    <w:basedOn w:val="Norml"/>
    <w:pPr>
      <w:tabs>
        <w:tab w:val="left" w:pos="360"/>
      </w:tabs>
      <w:ind w:left="284" w:hanging="284"/>
    </w:pPr>
    <w:rPr>
      <w:sz w:val="16"/>
    </w:rPr>
  </w:style>
  <w:style w:type="character" w:styleId="Lbjegyzet-hivatkozs">
    <w:name w:val="footnote reference"/>
    <w:semiHidden/>
    <w:rPr>
      <w:vertAlign w:val="superscript"/>
    </w:rPr>
  </w:style>
  <w:style w:type="paragraph" w:styleId="Lbjegyzetszveg">
    <w:name w:val="footnote text"/>
    <w:basedOn w:val="Norml"/>
    <w:semiHidden/>
    <w:pPr>
      <w:widowControl w:val="0"/>
      <w:jc w:val="left"/>
    </w:pPr>
    <w:rPr>
      <w:sz w:val="20"/>
    </w:rPr>
  </w:style>
  <w:style w:type="paragraph" w:styleId="Szvegtrzs">
    <w:name w:val="Body Text"/>
    <w:basedOn w:val="Norml"/>
    <w:pPr>
      <w:widowControl w:val="0"/>
    </w:pPr>
    <w:rPr>
      <w:color w:val="FF0000"/>
    </w:rPr>
  </w:style>
  <w:style w:type="paragraph" w:styleId="Cm">
    <w:name w:val="Title"/>
    <w:basedOn w:val="Norml"/>
    <w:qFormat/>
    <w:pPr>
      <w:keepNext/>
      <w:widowControl w:val="0"/>
      <w:ind w:right="-1"/>
      <w:jc w:val="center"/>
    </w:pPr>
    <w:rPr>
      <w:b/>
      <w:caps/>
      <w:spacing w:val="60"/>
      <w:sz w:val="32"/>
    </w:rPr>
  </w:style>
  <w:style w:type="paragraph" w:customStyle="1" w:styleId="Szvegtrzs21">
    <w:name w:val="Szövegtörzs 21"/>
    <w:basedOn w:val="Norml"/>
    <w:pPr>
      <w:widowControl w:val="0"/>
      <w:ind w:left="570"/>
    </w:pPr>
  </w:style>
  <w:style w:type="character" w:styleId="Oldalszm">
    <w:name w:val="page number"/>
    <w:basedOn w:val="Bekezdsalapbettpusa"/>
  </w:style>
  <w:style w:type="paragraph" w:customStyle="1" w:styleId="BodyText211">
    <w:name w:val="Body Text 211"/>
    <w:basedOn w:val="Norml"/>
    <w:pPr>
      <w:ind w:left="567"/>
    </w:pPr>
  </w:style>
  <w:style w:type="paragraph" w:customStyle="1" w:styleId="Szvegblokk1">
    <w:name w:val="Szövegblokk1"/>
    <w:basedOn w:val="Norml"/>
    <w:pPr>
      <w:keepNext/>
      <w:ind w:left="360" w:right="-1"/>
    </w:pPr>
  </w:style>
  <w:style w:type="paragraph" w:customStyle="1" w:styleId="BodyText210">
    <w:name w:val="Body Text 210"/>
    <w:basedOn w:val="Norml"/>
    <w:pPr>
      <w:ind w:left="426"/>
    </w:pPr>
  </w:style>
  <w:style w:type="paragraph" w:customStyle="1" w:styleId="Szvegtrzsbehzssal21">
    <w:name w:val="Szövegtörzs behúzással 21"/>
    <w:basedOn w:val="Norml"/>
    <w:pPr>
      <w:ind w:left="567" w:hanging="567"/>
    </w:pPr>
  </w:style>
  <w:style w:type="paragraph" w:customStyle="1" w:styleId="Szvegtrzsbehzssal31">
    <w:name w:val="Szövegtörzs behúzással 31"/>
    <w:basedOn w:val="Norml"/>
    <w:pPr>
      <w:ind w:left="851"/>
    </w:pPr>
  </w:style>
  <w:style w:type="paragraph" w:customStyle="1" w:styleId="BodyText29">
    <w:name w:val="Body Text 29"/>
    <w:basedOn w:val="Norml"/>
    <w:pPr>
      <w:ind w:left="851" w:hanging="284"/>
    </w:pPr>
  </w:style>
  <w:style w:type="paragraph" w:customStyle="1" w:styleId="BodyTextIndent26">
    <w:name w:val="Body Text Indent 26"/>
    <w:basedOn w:val="Norml"/>
    <w:pPr>
      <w:ind w:left="513"/>
    </w:pPr>
  </w:style>
  <w:style w:type="paragraph" w:customStyle="1" w:styleId="BodyTextIndent25">
    <w:name w:val="Body Text Indent 25"/>
    <w:basedOn w:val="Norml"/>
    <w:pPr>
      <w:ind w:left="567" w:hanging="567"/>
    </w:pPr>
  </w:style>
  <w:style w:type="paragraph" w:customStyle="1" w:styleId="BodyText28">
    <w:name w:val="Body Text 28"/>
    <w:basedOn w:val="Norml"/>
    <w:pPr>
      <w:spacing w:after="0"/>
    </w:pPr>
  </w:style>
  <w:style w:type="paragraph" w:customStyle="1" w:styleId="BodyText27">
    <w:name w:val="Body Text 27"/>
    <w:basedOn w:val="Norml"/>
    <w:pPr>
      <w:suppressAutoHyphens/>
      <w:ind w:left="1560"/>
    </w:pPr>
    <w:rPr>
      <w:sz w:val="22"/>
    </w:rPr>
  </w:style>
  <w:style w:type="paragraph" w:customStyle="1" w:styleId="BodyText26">
    <w:name w:val="Body Text 26"/>
    <w:basedOn w:val="Norml"/>
    <w:pPr>
      <w:ind w:left="992" w:hanging="425"/>
    </w:pPr>
  </w:style>
  <w:style w:type="paragraph" w:customStyle="1" w:styleId="BodyTextIndent24">
    <w:name w:val="Body Text Indent 24"/>
    <w:basedOn w:val="Norml"/>
    <w:pPr>
      <w:ind w:left="567"/>
    </w:pPr>
    <w:rPr>
      <w:b/>
    </w:rPr>
  </w:style>
  <w:style w:type="paragraph" w:customStyle="1" w:styleId="BodyText25">
    <w:name w:val="Body Text 25"/>
    <w:basedOn w:val="Norml"/>
    <w:pPr>
      <w:ind w:left="567"/>
    </w:pPr>
  </w:style>
  <w:style w:type="paragraph" w:customStyle="1" w:styleId="BodyText24">
    <w:name w:val="Body Text 24"/>
    <w:basedOn w:val="Norml"/>
    <w:pPr>
      <w:ind w:left="567"/>
    </w:pPr>
  </w:style>
  <w:style w:type="paragraph" w:customStyle="1" w:styleId="BodyText23">
    <w:name w:val="Body Text 23"/>
    <w:basedOn w:val="Norml"/>
    <w:pPr>
      <w:ind w:left="540"/>
    </w:pPr>
  </w:style>
  <w:style w:type="paragraph" w:customStyle="1" w:styleId="BodyTextIndent23">
    <w:name w:val="Body Text Indent 23"/>
    <w:basedOn w:val="Norml"/>
    <w:pPr>
      <w:ind w:left="426" w:hanging="426"/>
    </w:pPr>
  </w:style>
  <w:style w:type="character" w:styleId="Vgjegyzet-hivatkozs">
    <w:name w:val="endnote reference"/>
    <w:semiHidden/>
    <w:rPr>
      <w:vertAlign w:val="superscript"/>
    </w:rPr>
  </w:style>
  <w:style w:type="paragraph" w:customStyle="1" w:styleId="BlockText1">
    <w:name w:val="Block Text1"/>
    <w:basedOn w:val="Norml"/>
    <w:pPr>
      <w:ind w:left="425" w:right="284"/>
    </w:pPr>
    <w:rPr>
      <w:sz w:val="22"/>
    </w:rPr>
  </w:style>
  <w:style w:type="paragraph" w:customStyle="1" w:styleId="BodyText21">
    <w:name w:val="Body Text 21"/>
    <w:basedOn w:val="Norml"/>
    <w:pPr>
      <w:tabs>
        <w:tab w:val="left" w:pos="2694"/>
      </w:tabs>
      <w:ind w:left="360"/>
    </w:pPr>
  </w:style>
  <w:style w:type="paragraph" w:customStyle="1" w:styleId="BodyTextIndent22">
    <w:name w:val="Body Text Indent 22"/>
    <w:basedOn w:val="Norml"/>
    <w:pPr>
      <w:tabs>
        <w:tab w:val="left" w:pos="2694"/>
      </w:tabs>
      <w:ind w:left="709"/>
    </w:pPr>
  </w:style>
  <w:style w:type="paragraph" w:customStyle="1" w:styleId="BodyTextIndent21">
    <w:name w:val="Body Text Indent 21"/>
    <w:basedOn w:val="Norml"/>
    <w:pPr>
      <w:spacing w:after="0"/>
      <w:ind w:left="567"/>
    </w:pPr>
    <w:rPr>
      <w:sz w:val="24"/>
    </w:rPr>
  </w:style>
  <w:style w:type="paragraph" w:styleId="Szvegtrzs2">
    <w:name w:val="Body Text 2"/>
    <w:basedOn w:val="Norml"/>
    <w:pPr>
      <w:keepNext/>
      <w:tabs>
        <w:tab w:val="left" w:pos="2694"/>
      </w:tabs>
      <w:jc w:val="center"/>
    </w:pPr>
    <w:rPr>
      <w:b/>
      <w:caps/>
    </w:rPr>
  </w:style>
  <w:style w:type="paragraph" w:styleId="Szvegtrzsbehzssal2">
    <w:name w:val="Body Text Indent 2"/>
    <w:basedOn w:val="Norml"/>
    <w:pPr>
      <w:ind w:left="1134"/>
    </w:pPr>
    <w:rPr>
      <w:sz w:val="22"/>
    </w:rPr>
  </w:style>
  <w:style w:type="paragraph" w:styleId="Szvegtrzsbehzssal">
    <w:name w:val="Body Text Indent"/>
    <w:basedOn w:val="Norml"/>
    <w:pPr>
      <w:spacing w:after="0"/>
      <w:ind w:left="709"/>
    </w:pPr>
    <w:rPr>
      <w:i/>
      <w:iCs/>
      <w:sz w:val="28"/>
    </w:rPr>
  </w:style>
  <w:style w:type="paragraph" w:styleId="Szvegtrzsbehzssal3">
    <w:name w:val="Body Text Indent 3"/>
    <w:basedOn w:val="Norml"/>
    <w:pPr>
      <w:ind w:left="1134"/>
    </w:pPr>
    <w:rPr>
      <w:sz w:val="24"/>
    </w:rPr>
  </w:style>
  <w:style w:type="paragraph" w:styleId="Szvegblokk">
    <w:name w:val="Block Text"/>
    <w:basedOn w:val="Norml"/>
    <w:pPr>
      <w:ind w:left="-180" w:right="-108"/>
    </w:pPr>
  </w:style>
  <w:style w:type="paragraph" w:styleId="Kpalrs">
    <w:name w:val="caption"/>
    <w:basedOn w:val="Norml"/>
    <w:next w:val="Norml"/>
    <w:qFormat/>
    <w:pPr>
      <w:numPr>
        <w:numId w:val="1"/>
      </w:numPr>
      <w:spacing w:after="0"/>
      <w:ind w:right="282"/>
    </w:pPr>
    <w:rPr>
      <w:b/>
      <w:bCs/>
      <w:sz w:val="28"/>
      <w:u w:val="single"/>
    </w:rPr>
  </w:style>
  <w:style w:type="paragraph" w:styleId="Szvegtrzs3">
    <w:name w:val="Body Text 3"/>
    <w:basedOn w:val="Norml"/>
    <w:link w:val="Szvegtrzs3Char"/>
    <w:pPr>
      <w:ind w:right="-57"/>
    </w:pPr>
  </w:style>
  <w:style w:type="paragraph" w:customStyle="1" w:styleId="Szvegtrzs1">
    <w:name w:val="Szövegtörzs1"/>
    <w:basedOn w:val="Norml"/>
    <w:pPr>
      <w:spacing w:after="0"/>
    </w:pPr>
    <w:rPr>
      <w:i/>
      <w:sz w:val="28"/>
    </w:rPr>
  </w:style>
  <w:style w:type="paragraph" w:styleId="Alcm">
    <w:name w:val="Subtitle"/>
    <w:basedOn w:val="Norml"/>
    <w:qFormat/>
    <w:pPr>
      <w:spacing w:after="0"/>
      <w:jc w:val="left"/>
    </w:pPr>
    <w:rPr>
      <w:rFonts w:ascii="Arial" w:hAnsi="Arial"/>
      <w:i/>
      <w:sz w:val="24"/>
    </w:rPr>
  </w:style>
  <w:style w:type="paragraph" w:customStyle="1" w:styleId="BodyText22">
    <w:name w:val="Body Text 22"/>
    <w:basedOn w:val="Norml"/>
    <w:rPr>
      <w:sz w:val="24"/>
    </w:rPr>
  </w:style>
  <w:style w:type="character" w:styleId="Hiperhivatkozs">
    <w:name w:val="Hyperlink"/>
    <w:rsid w:val="00C743EC"/>
    <w:rPr>
      <w:color w:val="000000"/>
      <w:u w:val="single"/>
    </w:rPr>
  </w:style>
  <w:style w:type="paragraph" w:customStyle="1" w:styleId="StlusCmsor3Utna12pt">
    <w:name w:val="Stílus Címsor 3 + Utána:  12 pt"/>
    <w:basedOn w:val="Cmsor3"/>
    <w:rsid w:val="00F630A3"/>
    <w:pPr>
      <w:spacing w:after="240"/>
    </w:pPr>
  </w:style>
  <w:style w:type="paragraph" w:styleId="Buborkszveg">
    <w:name w:val="Balloon Text"/>
    <w:basedOn w:val="Norml"/>
    <w:semiHidden/>
    <w:rsid w:val="00187693"/>
    <w:pPr>
      <w:suppressAutoHyphens/>
    </w:pPr>
    <w:rPr>
      <w:rFonts w:ascii="Tahoma" w:hAnsi="Tahoma" w:cs="Tahoma"/>
      <w:sz w:val="16"/>
      <w:szCs w:val="16"/>
    </w:rPr>
  </w:style>
  <w:style w:type="paragraph" w:customStyle="1" w:styleId="bodytext2">
    <w:name w:val="bodytext2"/>
    <w:basedOn w:val="Norml"/>
    <w:rsid w:val="00FD0145"/>
    <w:pPr>
      <w:overflowPunct w:val="0"/>
      <w:autoSpaceDE w:val="0"/>
      <w:autoSpaceDN w:val="0"/>
      <w:ind w:left="360"/>
    </w:pPr>
    <w:rPr>
      <w:szCs w:val="26"/>
    </w:rPr>
  </w:style>
  <w:style w:type="character" w:customStyle="1" w:styleId="pm">
    <w:name w:val="pm"/>
    <w:semiHidden/>
    <w:rsid w:val="003F2FB9"/>
    <w:rPr>
      <w:rFonts w:ascii="Arial" w:hAnsi="Arial" w:cs="Arial"/>
      <w:color w:val="auto"/>
      <w:sz w:val="20"/>
      <w:szCs w:val="20"/>
    </w:rPr>
  </w:style>
  <w:style w:type="table" w:styleId="Rcsostblzat">
    <w:name w:val="Table Grid"/>
    <w:basedOn w:val="Normltblzat"/>
    <w:uiPriority w:val="59"/>
    <w:rsid w:val="0028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3Char">
    <w:name w:val="Szövegtörzs 3 Char"/>
    <w:link w:val="Szvegtrzs3"/>
    <w:rsid w:val="003149E2"/>
    <w:rPr>
      <w:sz w:val="26"/>
    </w:rPr>
  </w:style>
  <w:style w:type="paragraph" w:styleId="Listaszerbekezds">
    <w:name w:val="List Paragraph"/>
    <w:basedOn w:val="Norml"/>
    <w:uiPriority w:val="34"/>
    <w:qFormat/>
    <w:rsid w:val="00947BCD"/>
    <w:pPr>
      <w:spacing w:after="200" w:line="276" w:lineRule="auto"/>
      <w:ind w:left="720"/>
      <w:contextualSpacing/>
      <w:jc w:val="left"/>
    </w:pPr>
    <w:rPr>
      <w:rFonts w:ascii="Calibri" w:eastAsia="Calibri" w:hAnsi="Calibri"/>
      <w:sz w:val="22"/>
      <w:szCs w:val="22"/>
      <w:lang w:eastAsia="en-US"/>
    </w:rPr>
  </w:style>
  <w:style w:type="paragraph" w:customStyle="1" w:styleId="Szvegtrzs210">
    <w:name w:val="Szövegtörzs 210"/>
    <w:basedOn w:val="Norml"/>
    <w:rsid w:val="009271B4"/>
    <w:pPr>
      <w:widowControl w:val="0"/>
      <w:ind w:left="570"/>
    </w:pPr>
    <w:rPr>
      <w:rFonts w:ascii="Times" w:hAnsi="Times"/>
    </w:rPr>
  </w:style>
  <w:style w:type="character" w:customStyle="1" w:styleId="Cmsor4Char">
    <w:name w:val="Címsor 4 Char"/>
    <w:link w:val="Cmsor4"/>
    <w:rsid w:val="000C18B6"/>
    <w:rPr>
      <w:b/>
      <w:sz w:val="26"/>
    </w:rPr>
  </w:style>
  <w:style w:type="character" w:customStyle="1" w:styleId="llbChar">
    <w:name w:val="Élőláb Char"/>
    <w:link w:val="llb"/>
    <w:uiPriority w:val="99"/>
    <w:rsid w:val="00700449"/>
    <w:rPr>
      <w:sz w:val="26"/>
    </w:rPr>
  </w:style>
  <w:style w:type="character" w:styleId="Kiemels">
    <w:name w:val="Emphasis"/>
    <w:uiPriority w:val="20"/>
    <w:qFormat/>
    <w:rsid w:val="006D4536"/>
    <w:rPr>
      <w:b/>
      <w:bCs/>
      <w:i w:val="0"/>
      <w:iCs w:val="0"/>
    </w:rPr>
  </w:style>
  <w:style w:type="character" w:customStyle="1" w:styleId="st">
    <w:name w:val="st"/>
    <w:rsid w:val="006D4536"/>
  </w:style>
  <w:style w:type="character" w:styleId="Jegyzethivatkozs">
    <w:name w:val="annotation reference"/>
    <w:uiPriority w:val="99"/>
    <w:rsid w:val="003908B8"/>
    <w:rPr>
      <w:sz w:val="16"/>
      <w:szCs w:val="16"/>
    </w:rPr>
  </w:style>
  <w:style w:type="paragraph" w:styleId="Jegyzetszveg">
    <w:name w:val="annotation text"/>
    <w:basedOn w:val="Norml"/>
    <w:link w:val="JegyzetszvegChar"/>
    <w:rsid w:val="003908B8"/>
    <w:rPr>
      <w:sz w:val="20"/>
    </w:rPr>
  </w:style>
  <w:style w:type="character" w:customStyle="1" w:styleId="JegyzetszvegChar">
    <w:name w:val="Jegyzetszöveg Char"/>
    <w:basedOn w:val="Bekezdsalapbettpusa"/>
    <w:link w:val="Jegyzetszveg"/>
    <w:rsid w:val="003908B8"/>
  </w:style>
  <w:style w:type="paragraph" w:styleId="Megjegyzstrgya">
    <w:name w:val="annotation subject"/>
    <w:basedOn w:val="Jegyzetszveg"/>
    <w:next w:val="Jegyzetszveg"/>
    <w:link w:val="MegjegyzstrgyaChar"/>
    <w:rsid w:val="003908B8"/>
    <w:rPr>
      <w:b/>
      <w:bCs/>
    </w:rPr>
  </w:style>
  <w:style w:type="character" w:customStyle="1" w:styleId="MegjegyzstrgyaChar">
    <w:name w:val="Megjegyzés tárgya Char"/>
    <w:link w:val="Megjegyzstrgya"/>
    <w:rsid w:val="003908B8"/>
    <w:rPr>
      <w:b/>
      <w:bCs/>
    </w:rPr>
  </w:style>
  <w:style w:type="paragraph" w:styleId="NormlWeb">
    <w:name w:val="Normal (Web)"/>
    <w:basedOn w:val="Norml"/>
    <w:uiPriority w:val="99"/>
    <w:unhideWhenUsed/>
    <w:rsid w:val="00F15565"/>
    <w:pPr>
      <w:spacing w:before="100" w:beforeAutospacing="1" w:after="100" w:afterAutospacing="1"/>
      <w:jc w:val="left"/>
    </w:pPr>
    <w:rPr>
      <w:sz w:val="24"/>
      <w:szCs w:val="24"/>
    </w:rPr>
  </w:style>
  <w:style w:type="paragraph" w:customStyle="1" w:styleId="lead">
    <w:name w:val="lead"/>
    <w:basedOn w:val="Norml"/>
    <w:rsid w:val="00F15565"/>
    <w:pPr>
      <w:spacing w:before="100" w:beforeAutospacing="1" w:after="100" w:afterAutospacing="1"/>
      <w:jc w:val="left"/>
    </w:pPr>
    <w:rPr>
      <w:sz w:val="24"/>
      <w:szCs w:val="24"/>
    </w:rPr>
  </w:style>
  <w:style w:type="character" w:customStyle="1" w:styleId="lfejChar">
    <w:name w:val="Élőfej Char"/>
    <w:link w:val="lfej"/>
    <w:uiPriority w:val="99"/>
    <w:rsid w:val="00881044"/>
    <w:rPr>
      <w:sz w:val="26"/>
    </w:rPr>
  </w:style>
  <w:style w:type="paragraph" w:customStyle="1" w:styleId="Default">
    <w:name w:val="Default"/>
    <w:rsid w:val="00737A62"/>
    <w:pPr>
      <w:autoSpaceDE w:val="0"/>
      <w:autoSpaceDN w:val="0"/>
      <w:adjustRightInd w:val="0"/>
    </w:pPr>
    <w:rPr>
      <w:rFonts w:ascii="Myriad Pro" w:eastAsiaTheme="minorHAnsi" w:hAnsi="Myriad Pro" w:cs="Myriad Pro"/>
      <w:color w:val="000000"/>
      <w:sz w:val="24"/>
      <w:szCs w:val="24"/>
      <w:lang w:eastAsia="en-US"/>
    </w:rPr>
  </w:style>
  <w:style w:type="table" w:customStyle="1" w:styleId="Tblzatrcsos1vilgos1jellszn1">
    <w:name w:val="Táblázat (rácsos) 1 – világos – 1. jelölőszín1"/>
    <w:basedOn w:val="Normltblzat"/>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1">
    <w:name w:val="normaltextrun1"/>
    <w:basedOn w:val="Bekezdsalapbettpusa"/>
    <w:rsid w:val="002D550F"/>
  </w:style>
  <w:style w:type="character" w:customStyle="1" w:styleId="Cmsor2Char">
    <w:name w:val="Címsor 2 Char"/>
    <w:basedOn w:val="Bekezdsalapbettpusa"/>
    <w:link w:val="Cmsor2"/>
    <w:rsid w:val="0083067D"/>
    <w:rPr>
      <w:b/>
      <w:iCs/>
      <w:cap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8036">
      <w:bodyDiv w:val="1"/>
      <w:marLeft w:val="0"/>
      <w:marRight w:val="0"/>
      <w:marTop w:val="0"/>
      <w:marBottom w:val="0"/>
      <w:divBdr>
        <w:top w:val="none" w:sz="0" w:space="0" w:color="auto"/>
        <w:left w:val="none" w:sz="0" w:space="0" w:color="auto"/>
        <w:bottom w:val="none" w:sz="0" w:space="0" w:color="auto"/>
        <w:right w:val="none" w:sz="0" w:space="0" w:color="auto"/>
      </w:divBdr>
    </w:div>
    <w:div w:id="28384293">
      <w:bodyDiv w:val="1"/>
      <w:marLeft w:val="0"/>
      <w:marRight w:val="0"/>
      <w:marTop w:val="0"/>
      <w:marBottom w:val="0"/>
      <w:divBdr>
        <w:top w:val="none" w:sz="0" w:space="0" w:color="auto"/>
        <w:left w:val="none" w:sz="0" w:space="0" w:color="auto"/>
        <w:bottom w:val="none" w:sz="0" w:space="0" w:color="auto"/>
        <w:right w:val="none" w:sz="0" w:space="0" w:color="auto"/>
      </w:divBdr>
    </w:div>
    <w:div w:id="36400119">
      <w:bodyDiv w:val="1"/>
      <w:marLeft w:val="0"/>
      <w:marRight w:val="0"/>
      <w:marTop w:val="0"/>
      <w:marBottom w:val="0"/>
      <w:divBdr>
        <w:top w:val="none" w:sz="0" w:space="0" w:color="auto"/>
        <w:left w:val="none" w:sz="0" w:space="0" w:color="auto"/>
        <w:bottom w:val="none" w:sz="0" w:space="0" w:color="auto"/>
        <w:right w:val="none" w:sz="0" w:space="0" w:color="auto"/>
      </w:divBdr>
    </w:div>
    <w:div w:id="41102839">
      <w:bodyDiv w:val="1"/>
      <w:marLeft w:val="0"/>
      <w:marRight w:val="0"/>
      <w:marTop w:val="0"/>
      <w:marBottom w:val="0"/>
      <w:divBdr>
        <w:top w:val="none" w:sz="0" w:space="0" w:color="auto"/>
        <w:left w:val="none" w:sz="0" w:space="0" w:color="auto"/>
        <w:bottom w:val="none" w:sz="0" w:space="0" w:color="auto"/>
        <w:right w:val="none" w:sz="0" w:space="0" w:color="auto"/>
      </w:divBdr>
    </w:div>
    <w:div w:id="53281613">
      <w:bodyDiv w:val="1"/>
      <w:marLeft w:val="0"/>
      <w:marRight w:val="0"/>
      <w:marTop w:val="0"/>
      <w:marBottom w:val="0"/>
      <w:divBdr>
        <w:top w:val="none" w:sz="0" w:space="0" w:color="auto"/>
        <w:left w:val="none" w:sz="0" w:space="0" w:color="auto"/>
        <w:bottom w:val="none" w:sz="0" w:space="0" w:color="auto"/>
        <w:right w:val="none" w:sz="0" w:space="0" w:color="auto"/>
      </w:divBdr>
    </w:div>
    <w:div w:id="55016142">
      <w:bodyDiv w:val="1"/>
      <w:marLeft w:val="0"/>
      <w:marRight w:val="0"/>
      <w:marTop w:val="0"/>
      <w:marBottom w:val="0"/>
      <w:divBdr>
        <w:top w:val="none" w:sz="0" w:space="0" w:color="auto"/>
        <w:left w:val="none" w:sz="0" w:space="0" w:color="auto"/>
        <w:bottom w:val="none" w:sz="0" w:space="0" w:color="auto"/>
        <w:right w:val="none" w:sz="0" w:space="0" w:color="auto"/>
      </w:divBdr>
    </w:div>
    <w:div w:id="65150505">
      <w:bodyDiv w:val="1"/>
      <w:marLeft w:val="0"/>
      <w:marRight w:val="0"/>
      <w:marTop w:val="0"/>
      <w:marBottom w:val="0"/>
      <w:divBdr>
        <w:top w:val="none" w:sz="0" w:space="0" w:color="auto"/>
        <w:left w:val="none" w:sz="0" w:space="0" w:color="auto"/>
        <w:bottom w:val="none" w:sz="0" w:space="0" w:color="auto"/>
        <w:right w:val="none" w:sz="0" w:space="0" w:color="auto"/>
      </w:divBdr>
    </w:div>
    <w:div w:id="67240560">
      <w:bodyDiv w:val="1"/>
      <w:marLeft w:val="0"/>
      <w:marRight w:val="0"/>
      <w:marTop w:val="0"/>
      <w:marBottom w:val="0"/>
      <w:divBdr>
        <w:top w:val="none" w:sz="0" w:space="0" w:color="auto"/>
        <w:left w:val="none" w:sz="0" w:space="0" w:color="auto"/>
        <w:bottom w:val="none" w:sz="0" w:space="0" w:color="auto"/>
        <w:right w:val="none" w:sz="0" w:space="0" w:color="auto"/>
      </w:divBdr>
    </w:div>
    <w:div w:id="69694883">
      <w:bodyDiv w:val="1"/>
      <w:marLeft w:val="0"/>
      <w:marRight w:val="0"/>
      <w:marTop w:val="0"/>
      <w:marBottom w:val="0"/>
      <w:divBdr>
        <w:top w:val="none" w:sz="0" w:space="0" w:color="auto"/>
        <w:left w:val="none" w:sz="0" w:space="0" w:color="auto"/>
        <w:bottom w:val="none" w:sz="0" w:space="0" w:color="auto"/>
        <w:right w:val="none" w:sz="0" w:space="0" w:color="auto"/>
      </w:divBdr>
    </w:div>
    <w:div w:id="72091074">
      <w:bodyDiv w:val="1"/>
      <w:marLeft w:val="0"/>
      <w:marRight w:val="0"/>
      <w:marTop w:val="0"/>
      <w:marBottom w:val="0"/>
      <w:divBdr>
        <w:top w:val="none" w:sz="0" w:space="0" w:color="auto"/>
        <w:left w:val="none" w:sz="0" w:space="0" w:color="auto"/>
        <w:bottom w:val="none" w:sz="0" w:space="0" w:color="auto"/>
        <w:right w:val="none" w:sz="0" w:space="0" w:color="auto"/>
      </w:divBdr>
    </w:div>
    <w:div w:id="83652861">
      <w:bodyDiv w:val="1"/>
      <w:marLeft w:val="0"/>
      <w:marRight w:val="0"/>
      <w:marTop w:val="0"/>
      <w:marBottom w:val="0"/>
      <w:divBdr>
        <w:top w:val="none" w:sz="0" w:space="0" w:color="auto"/>
        <w:left w:val="none" w:sz="0" w:space="0" w:color="auto"/>
        <w:bottom w:val="none" w:sz="0" w:space="0" w:color="auto"/>
        <w:right w:val="none" w:sz="0" w:space="0" w:color="auto"/>
      </w:divBdr>
    </w:div>
    <w:div w:id="99643172">
      <w:bodyDiv w:val="1"/>
      <w:marLeft w:val="0"/>
      <w:marRight w:val="0"/>
      <w:marTop w:val="0"/>
      <w:marBottom w:val="0"/>
      <w:divBdr>
        <w:top w:val="none" w:sz="0" w:space="0" w:color="auto"/>
        <w:left w:val="none" w:sz="0" w:space="0" w:color="auto"/>
        <w:bottom w:val="none" w:sz="0" w:space="0" w:color="auto"/>
        <w:right w:val="none" w:sz="0" w:space="0" w:color="auto"/>
      </w:divBdr>
    </w:div>
    <w:div w:id="99958094">
      <w:bodyDiv w:val="1"/>
      <w:marLeft w:val="0"/>
      <w:marRight w:val="0"/>
      <w:marTop w:val="0"/>
      <w:marBottom w:val="0"/>
      <w:divBdr>
        <w:top w:val="none" w:sz="0" w:space="0" w:color="auto"/>
        <w:left w:val="none" w:sz="0" w:space="0" w:color="auto"/>
        <w:bottom w:val="none" w:sz="0" w:space="0" w:color="auto"/>
        <w:right w:val="none" w:sz="0" w:space="0" w:color="auto"/>
      </w:divBdr>
    </w:div>
    <w:div w:id="100415675">
      <w:bodyDiv w:val="1"/>
      <w:marLeft w:val="0"/>
      <w:marRight w:val="0"/>
      <w:marTop w:val="0"/>
      <w:marBottom w:val="0"/>
      <w:divBdr>
        <w:top w:val="none" w:sz="0" w:space="0" w:color="auto"/>
        <w:left w:val="none" w:sz="0" w:space="0" w:color="auto"/>
        <w:bottom w:val="none" w:sz="0" w:space="0" w:color="auto"/>
        <w:right w:val="none" w:sz="0" w:space="0" w:color="auto"/>
      </w:divBdr>
    </w:div>
    <w:div w:id="112526933">
      <w:bodyDiv w:val="1"/>
      <w:marLeft w:val="0"/>
      <w:marRight w:val="0"/>
      <w:marTop w:val="0"/>
      <w:marBottom w:val="0"/>
      <w:divBdr>
        <w:top w:val="none" w:sz="0" w:space="0" w:color="auto"/>
        <w:left w:val="none" w:sz="0" w:space="0" w:color="auto"/>
        <w:bottom w:val="none" w:sz="0" w:space="0" w:color="auto"/>
        <w:right w:val="none" w:sz="0" w:space="0" w:color="auto"/>
      </w:divBdr>
    </w:div>
    <w:div w:id="112943691">
      <w:bodyDiv w:val="1"/>
      <w:marLeft w:val="0"/>
      <w:marRight w:val="0"/>
      <w:marTop w:val="0"/>
      <w:marBottom w:val="0"/>
      <w:divBdr>
        <w:top w:val="none" w:sz="0" w:space="0" w:color="auto"/>
        <w:left w:val="none" w:sz="0" w:space="0" w:color="auto"/>
        <w:bottom w:val="none" w:sz="0" w:space="0" w:color="auto"/>
        <w:right w:val="none" w:sz="0" w:space="0" w:color="auto"/>
      </w:divBdr>
    </w:div>
    <w:div w:id="132792457">
      <w:bodyDiv w:val="1"/>
      <w:marLeft w:val="0"/>
      <w:marRight w:val="0"/>
      <w:marTop w:val="0"/>
      <w:marBottom w:val="0"/>
      <w:divBdr>
        <w:top w:val="none" w:sz="0" w:space="0" w:color="auto"/>
        <w:left w:val="none" w:sz="0" w:space="0" w:color="auto"/>
        <w:bottom w:val="none" w:sz="0" w:space="0" w:color="auto"/>
        <w:right w:val="none" w:sz="0" w:space="0" w:color="auto"/>
      </w:divBdr>
    </w:div>
    <w:div w:id="141243291">
      <w:bodyDiv w:val="1"/>
      <w:marLeft w:val="0"/>
      <w:marRight w:val="0"/>
      <w:marTop w:val="0"/>
      <w:marBottom w:val="0"/>
      <w:divBdr>
        <w:top w:val="none" w:sz="0" w:space="0" w:color="auto"/>
        <w:left w:val="none" w:sz="0" w:space="0" w:color="auto"/>
        <w:bottom w:val="none" w:sz="0" w:space="0" w:color="auto"/>
        <w:right w:val="none" w:sz="0" w:space="0" w:color="auto"/>
      </w:divBdr>
    </w:div>
    <w:div w:id="144244819">
      <w:bodyDiv w:val="1"/>
      <w:marLeft w:val="0"/>
      <w:marRight w:val="0"/>
      <w:marTop w:val="0"/>
      <w:marBottom w:val="0"/>
      <w:divBdr>
        <w:top w:val="none" w:sz="0" w:space="0" w:color="auto"/>
        <w:left w:val="none" w:sz="0" w:space="0" w:color="auto"/>
        <w:bottom w:val="none" w:sz="0" w:space="0" w:color="auto"/>
        <w:right w:val="none" w:sz="0" w:space="0" w:color="auto"/>
      </w:divBdr>
    </w:div>
    <w:div w:id="176233101">
      <w:bodyDiv w:val="1"/>
      <w:marLeft w:val="0"/>
      <w:marRight w:val="0"/>
      <w:marTop w:val="0"/>
      <w:marBottom w:val="0"/>
      <w:divBdr>
        <w:top w:val="none" w:sz="0" w:space="0" w:color="auto"/>
        <w:left w:val="none" w:sz="0" w:space="0" w:color="auto"/>
        <w:bottom w:val="none" w:sz="0" w:space="0" w:color="auto"/>
        <w:right w:val="none" w:sz="0" w:space="0" w:color="auto"/>
      </w:divBdr>
    </w:div>
    <w:div w:id="176383975">
      <w:bodyDiv w:val="1"/>
      <w:marLeft w:val="0"/>
      <w:marRight w:val="0"/>
      <w:marTop w:val="0"/>
      <w:marBottom w:val="0"/>
      <w:divBdr>
        <w:top w:val="none" w:sz="0" w:space="0" w:color="auto"/>
        <w:left w:val="none" w:sz="0" w:space="0" w:color="auto"/>
        <w:bottom w:val="none" w:sz="0" w:space="0" w:color="auto"/>
        <w:right w:val="none" w:sz="0" w:space="0" w:color="auto"/>
      </w:divBdr>
    </w:div>
    <w:div w:id="179512026">
      <w:bodyDiv w:val="1"/>
      <w:marLeft w:val="0"/>
      <w:marRight w:val="0"/>
      <w:marTop w:val="0"/>
      <w:marBottom w:val="0"/>
      <w:divBdr>
        <w:top w:val="none" w:sz="0" w:space="0" w:color="auto"/>
        <w:left w:val="none" w:sz="0" w:space="0" w:color="auto"/>
        <w:bottom w:val="none" w:sz="0" w:space="0" w:color="auto"/>
        <w:right w:val="none" w:sz="0" w:space="0" w:color="auto"/>
      </w:divBdr>
    </w:div>
    <w:div w:id="194008701">
      <w:bodyDiv w:val="1"/>
      <w:marLeft w:val="0"/>
      <w:marRight w:val="0"/>
      <w:marTop w:val="0"/>
      <w:marBottom w:val="0"/>
      <w:divBdr>
        <w:top w:val="none" w:sz="0" w:space="0" w:color="auto"/>
        <w:left w:val="none" w:sz="0" w:space="0" w:color="auto"/>
        <w:bottom w:val="none" w:sz="0" w:space="0" w:color="auto"/>
        <w:right w:val="none" w:sz="0" w:space="0" w:color="auto"/>
      </w:divBdr>
    </w:div>
    <w:div w:id="220872549">
      <w:bodyDiv w:val="1"/>
      <w:marLeft w:val="0"/>
      <w:marRight w:val="0"/>
      <w:marTop w:val="0"/>
      <w:marBottom w:val="0"/>
      <w:divBdr>
        <w:top w:val="none" w:sz="0" w:space="0" w:color="auto"/>
        <w:left w:val="none" w:sz="0" w:space="0" w:color="auto"/>
        <w:bottom w:val="none" w:sz="0" w:space="0" w:color="auto"/>
        <w:right w:val="none" w:sz="0" w:space="0" w:color="auto"/>
      </w:divBdr>
    </w:div>
    <w:div w:id="239605184">
      <w:bodyDiv w:val="1"/>
      <w:marLeft w:val="0"/>
      <w:marRight w:val="0"/>
      <w:marTop w:val="0"/>
      <w:marBottom w:val="0"/>
      <w:divBdr>
        <w:top w:val="none" w:sz="0" w:space="0" w:color="auto"/>
        <w:left w:val="none" w:sz="0" w:space="0" w:color="auto"/>
        <w:bottom w:val="none" w:sz="0" w:space="0" w:color="auto"/>
        <w:right w:val="none" w:sz="0" w:space="0" w:color="auto"/>
      </w:divBdr>
    </w:div>
    <w:div w:id="239684278">
      <w:bodyDiv w:val="1"/>
      <w:marLeft w:val="0"/>
      <w:marRight w:val="0"/>
      <w:marTop w:val="0"/>
      <w:marBottom w:val="0"/>
      <w:divBdr>
        <w:top w:val="none" w:sz="0" w:space="0" w:color="auto"/>
        <w:left w:val="none" w:sz="0" w:space="0" w:color="auto"/>
        <w:bottom w:val="none" w:sz="0" w:space="0" w:color="auto"/>
        <w:right w:val="none" w:sz="0" w:space="0" w:color="auto"/>
      </w:divBdr>
    </w:div>
    <w:div w:id="240531394">
      <w:bodyDiv w:val="1"/>
      <w:marLeft w:val="0"/>
      <w:marRight w:val="0"/>
      <w:marTop w:val="0"/>
      <w:marBottom w:val="0"/>
      <w:divBdr>
        <w:top w:val="none" w:sz="0" w:space="0" w:color="auto"/>
        <w:left w:val="none" w:sz="0" w:space="0" w:color="auto"/>
        <w:bottom w:val="none" w:sz="0" w:space="0" w:color="auto"/>
        <w:right w:val="none" w:sz="0" w:space="0" w:color="auto"/>
      </w:divBdr>
    </w:div>
    <w:div w:id="240649160">
      <w:bodyDiv w:val="1"/>
      <w:marLeft w:val="0"/>
      <w:marRight w:val="0"/>
      <w:marTop w:val="0"/>
      <w:marBottom w:val="0"/>
      <w:divBdr>
        <w:top w:val="none" w:sz="0" w:space="0" w:color="auto"/>
        <w:left w:val="none" w:sz="0" w:space="0" w:color="auto"/>
        <w:bottom w:val="none" w:sz="0" w:space="0" w:color="auto"/>
        <w:right w:val="none" w:sz="0" w:space="0" w:color="auto"/>
      </w:divBdr>
    </w:div>
    <w:div w:id="251469864">
      <w:bodyDiv w:val="1"/>
      <w:marLeft w:val="0"/>
      <w:marRight w:val="0"/>
      <w:marTop w:val="0"/>
      <w:marBottom w:val="0"/>
      <w:divBdr>
        <w:top w:val="none" w:sz="0" w:space="0" w:color="auto"/>
        <w:left w:val="none" w:sz="0" w:space="0" w:color="auto"/>
        <w:bottom w:val="none" w:sz="0" w:space="0" w:color="auto"/>
        <w:right w:val="none" w:sz="0" w:space="0" w:color="auto"/>
      </w:divBdr>
    </w:div>
    <w:div w:id="255404554">
      <w:bodyDiv w:val="1"/>
      <w:marLeft w:val="0"/>
      <w:marRight w:val="0"/>
      <w:marTop w:val="0"/>
      <w:marBottom w:val="0"/>
      <w:divBdr>
        <w:top w:val="none" w:sz="0" w:space="0" w:color="auto"/>
        <w:left w:val="none" w:sz="0" w:space="0" w:color="auto"/>
        <w:bottom w:val="none" w:sz="0" w:space="0" w:color="auto"/>
        <w:right w:val="none" w:sz="0" w:space="0" w:color="auto"/>
      </w:divBdr>
    </w:div>
    <w:div w:id="257064155">
      <w:bodyDiv w:val="1"/>
      <w:marLeft w:val="0"/>
      <w:marRight w:val="0"/>
      <w:marTop w:val="0"/>
      <w:marBottom w:val="0"/>
      <w:divBdr>
        <w:top w:val="none" w:sz="0" w:space="0" w:color="auto"/>
        <w:left w:val="none" w:sz="0" w:space="0" w:color="auto"/>
        <w:bottom w:val="none" w:sz="0" w:space="0" w:color="auto"/>
        <w:right w:val="none" w:sz="0" w:space="0" w:color="auto"/>
      </w:divBdr>
    </w:div>
    <w:div w:id="281766605">
      <w:bodyDiv w:val="1"/>
      <w:marLeft w:val="0"/>
      <w:marRight w:val="0"/>
      <w:marTop w:val="0"/>
      <w:marBottom w:val="0"/>
      <w:divBdr>
        <w:top w:val="none" w:sz="0" w:space="0" w:color="auto"/>
        <w:left w:val="none" w:sz="0" w:space="0" w:color="auto"/>
        <w:bottom w:val="none" w:sz="0" w:space="0" w:color="auto"/>
        <w:right w:val="none" w:sz="0" w:space="0" w:color="auto"/>
      </w:divBdr>
    </w:div>
    <w:div w:id="284392711">
      <w:bodyDiv w:val="1"/>
      <w:marLeft w:val="0"/>
      <w:marRight w:val="0"/>
      <w:marTop w:val="0"/>
      <w:marBottom w:val="0"/>
      <w:divBdr>
        <w:top w:val="none" w:sz="0" w:space="0" w:color="auto"/>
        <w:left w:val="none" w:sz="0" w:space="0" w:color="auto"/>
        <w:bottom w:val="none" w:sz="0" w:space="0" w:color="auto"/>
        <w:right w:val="none" w:sz="0" w:space="0" w:color="auto"/>
      </w:divBdr>
    </w:div>
    <w:div w:id="303589234">
      <w:bodyDiv w:val="1"/>
      <w:marLeft w:val="0"/>
      <w:marRight w:val="0"/>
      <w:marTop w:val="0"/>
      <w:marBottom w:val="0"/>
      <w:divBdr>
        <w:top w:val="none" w:sz="0" w:space="0" w:color="auto"/>
        <w:left w:val="none" w:sz="0" w:space="0" w:color="auto"/>
        <w:bottom w:val="none" w:sz="0" w:space="0" w:color="auto"/>
        <w:right w:val="none" w:sz="0" w:space="0" w:color="auto"/>
      </w:divBdr>
    </w:div>
    <w:div w:id="317005482">
      <w:bodyDiv w:val="1"/>
      <w:marLeft w:val="0"/>
      <w:marRight w:val="0"/>
      <w:marTop w:val="0"/>
      <w:marBottom w:val="0"/>
      <w:divBdr>
        <w:top w:val="none" w:sz="0" w:space="0" w:color="auto"/>
        <w:left w:val="none" w:sz="0" w:space="0" w:color="auto"/>
        <w:bottom w:val="none" w:sz="0" w:space="0" w:color="auto"/>
        <w:right w:val="none" w:sz="0" w:space="0" w:color="auto"/>
      </w:divBdr>
    </w:div>
    <w:div w:id="340012044">
      <w:bodyDiv w:val="1"/>
      <w:marLeft w:val="0"/>
      <w:marRight w:val="0"/>
      <w:marTop w:val="0"/>
      <w:marBottom w:val="0"/>
      <w:divBdr>
        <w:top w:val="none" w:sz="0" w:space="0" w:color="auto"/>
        <w:left w:val="none" w:sz="0" w:space="0" w:color="auto"/>
        <w:bottom w:val="none" w:sz="0" w:space="0" w:color="auto"/>
        <w:right w:val="none" w:sz="0" w:space="0" w:color="auto"/>
      </w:divBdr>
    </w:div>
    <w:div w:id="340087641">
      <w:bodyDiv w:val="1"/>
      <w:marLeft w:val="0"/>
      <w:marRight w:val="0"/>
      <w:marTop w:val="0"/>
      <w:marBottom w:val="0"/>
      <w:divBdr>
        <w:top w:val="none" w:sz="0" w:space="0" w:color="auto"/>
        <w:left w:val="none" w:sz="0" w:space="0" w:color="auto"/>
        <w:bottom w:val="none" w:sz="0" w:space="0" w:color="auto"/>
        <w:right w:val="none" w:sz="0" w:space="0" w:color="auto"/>
      </w:divBdr>
    </w:div>
    <w:div w:id="355614950">
      <w:bodyDiv w:val="1"/>
      <w:marLeft w:val="0"/>
      <w:marRight w:val="0"/>
      <w:marTop w:val="0"/>
      <w:marBottom w:val="0"/>
      <w:divBdr>
        <w:top w:val="none" w:sz="0" w:space="0" w:color="auto"/>
        <w:left w:val="none" w:sz="0" w:space="0" w:color="auto"/>
        <w:bottom w:val="none" w:sz="0" w:space="0" w:color="auto"/>
        <w:right w:val="none" w:sz="0" w:space="0" w:color="auto"/>
      </w:divBdr>
    </w:div>
    <w:div w:id="358436226">
      <w:bodyDiv w:val="1"/>
      <w:marLeft w:val="0"/>
      <w:marRight w:val="0"/>
      <w:marTop w:val="0"/>
      <w:marBottom w:val="0"/>
      <w:divBdr>
        <w:top w:val="none" w:sz="0" w:space="0" w:color="auto"/>
        <w:left w:val="none" w:sz="0" w:space="0" w:color="auto"/>
        <w:bottom w:val="none" w:sz="0" w:space="0" w:color="auto"/>
        <w:right w:val="none" w:sz="0" w:space="0" w:color="auto"/>
      </w:divBdr>
    </w:div>
    <w:div w:id="359674158">
      <w:bodyDiv w:val="1"/>
      <w:marLeft w:val="0"/>
      <w:marRight w:val="0"/>
      <w:marTop w:val="0"/>
      <w:marBottom w:val="0"/>
      <w:divBdr>
        <w:top w:val="none" w:sz="0" w:space="0" w:color="auto"/>
        <w:left w:val="none" w:sz="0" w:space="0" w:color="auto"/>
        <w:bottom w:val="none" w:sz="0" w:space="0" w:color="auto"/>
        <w:right w:val="none" w:sz="0" w:space="0" w:color="auto"/>
      </w:divBdr>
    </w:div>
    <w:div w:id="363796596">
      <w:bodyDiv w:val="1"/>
      <w:marLeft w:val="0"/>
      <w:marRight w:val="0"/>
      <w:marTop w:val="0"/>
      <w:marBottom w:val="0"/>
      <w:divBdr>
        <w:top w:val="none" w:sz="0" w:space="0" w:color="auto"/>
        <w:left w:val="none" w:sz="0" w:space="0" w:color="auto"/>
        <w:bottom w:val="none" w:sz="0" w:space="0" w:color="auto"/>
        <w:right w:val="none" w:sz="0" w:space="0" w:color="auto"/>
      </w:divBdr>
    </w:div>
    <w:div w:id="366292745">
      <w:bodyDiv w:val="1"/>
      <w:marLeft w:val="0"/>
      <w:marRight w:val="0"/>
      <w:marTop w:val="0"/>
      <w:marBottom w:val="0"/>
      <w:divBdr>
        <w:top w:val="none" w:sz="0" w:space="0" w:color="auto"/>
        <w:left w:val="none" w:sz="0" w:space="0" w:color="auto"/>
        <w:bottom w:val="none" w:sz="0" w:space="0" w:color="auto"/>
        <w:right w:val="none" w:sz="0" w:space="0" w:color="auto"/>
      </w:divBdr>
    </w:div>
    <w:div w:id="368576189">
      <w:bodyDiv w:val="1"/>
      <w:marLeft w:val="0"/>
      <w:marRight w:val="0"/>
      <w:marTop w:val="0"/>
      <w:marBottom w:val="0"/>
      <w:divBdr>
        <w:top w:val="none" w:sz="0" w:space="0" w:color="auto"/>
        <w:left w:val="none" w:sz="0" w:space="0" w:color="auto"/>
        <w:bottom w:val="none" w:sz="0" w:space="0" w:color="auto"/>
        <w:right w:val="none" w:sz="0" w:space="0" w:color="auto"/>
      </w:divBdr>
    </w:div>
    <w:div w:id="370804839">
      <w:bodyDiv w:val="1"/>
      <w:marLeft w:val="0"/>
      <w:marRight w:val="0"/>
      <w:marTop w:val="0"/>
      <w:marBottom w:val="0"/>
      <w:divBdr>
        <w:top w:val="none" w:sz="0" w:space="0" w:color="auto"/>
        <w:left w:val="none" w:sz="0" w:space="0" w:color="auto"/>
        <w:bottom w:val="none" w:sz="0" w:space="0" w:color="auto"/>
        <w:right w:val="none" w:sz="0" w:space="0" w:color="auto"/>
      </w:divBdr>
    </w:div>
    <w:div w:id="382870823">
      <w:bodyDiv w:val="1"/>
      <w:marLeft w:val="0"/>
      <w:marRight w:val="0"/>
      <w:marTop w:val="0"/>
      <w:marBottom w:val="0"/>
      <w:divBdr>
        <w:top w:val="none" w:sz="0" w:space="0" w:color="auto"/>
        <w:left w:val="none" w:sz="0" w:space="0" w:color="auto"/>
        <w:bottom w:val="none" w:sz="0" w:space="0" w:color="auto"/>
        <w:right w:val="none" w:sz="0" w:space="0" w:color="auto"/>
      </w:divBdr>
    </w:div>
    <w:div w:id="388308846">
      <w:bodyDiv w:val="1"/>
      <w:marLeft w:val="0"/>
      <w:marRight w:val="0"/>
      <w:marTop w:val="0"/>
      <w:marBottom w:val="0"/>
      <w:divBdr>
        <w:top w:val="none" w:sz="0" w:space="0" w:color="auto"/>
        <w:left w:val="none" w:sz="0" w:space="0" w:color="auto"/>
        <w:bottom w:val="none" w:sz="0" w:space="0" w:color="auto"/>
        <w:right w:val="none" w:sz="0" w:space="0" w:color="auto"/>
      </w:divBdr>
    </w:div>
    <w:div w:id="391005734">
      <w:bodyDiv w:val="1"/>
      <w:marLeft w:val="0"/>
      <w:marRight w:val="0"/>
      <w:marTop w:val="0"/>
      <w:marBottom w:val="0"/>
      <w:divBdr>
        <w:top w:val="none" w:sz="0" w:space="0" w:color="auto"/>
        <w:left w:val="none" w:sz="0" w:space="0" w:color="auto"/>
        <w:bottom w:val="none" w:sz="0" w:space="0" w:color="auto"/>
        <w:right w:val="none" w:sz="0" w:space="0" w:color="auto"/>
      </w:divBdr>
    </w:div>
    <w:div w:id="392198883">
      <w:bodyDiv w:val="1"/>
      <w:marLeft w:val="0"/>
      <w:marRight w:val="0"/>
      <w:marTop w:val="0"/>
      <w:marBottom w:val="0"/>
      <w:divBdr>
        <w:top w:val="none" w:sz="0" w:space="0" w:color="auto"/>
        <w:left w:val="none" w:sz="0" w:space="0" w:color="auto"/>
        <w:bottom w:val="none" w:sz="0" w:space="0" w:color="auto"/>
        <w:right w:val="none" w:sz="0" w:space="0" w:color="auto"/>
      </w:divBdr>
    </w:div>
    <w:div w:id="403452250">
      <w:bodyDiv w:val="1"/>
      <w:marLeft w:val="0"/>
      <w:marRight w:val="0"/>
      <w:marTop w:val="0"/>
      <w:marBottom w:val="0"/>
      <w:divBdr>
        <w:top w:val="none" w:sz="0" w:space="0" w:color="auto"/>
        <w:left w:val="none" w:sz="0" w:space="0" w:color="auto"/>
        <w:bottom w:val="none" w:sz="0" w:space="0" w:color="auto"/>
        <w:right w:val="none" w:sz="0" w:space="0" w:color="auto"/>
      </w:divBdr>
    </w:div>
    <w:div w:id="407192575">
      <w:bodyDiv w:val="1"/>
      <w:marLeft w:val="0"/>
      <w:marRight w:val="0"/>
      <w:marTop w:val="0"/>
      <w:marBottom w:val="0"/>
      <w:divBdr>
        <w:top w:val="none" w:sz="0" w:space="0" w:color="auto"/>
        <w:left w:val="none" w:sz="0" w:space="0" w:color="auto"/>
        <w:bottom w:val="none" w:sz="0" w:space="0" w:color="auto"/>
        <w:right w:val="none" w:sz="0" w:space="0" w:color="auto"/>
      </w:divBdr>
    </w:div>
    <w:div w:id="409697701">
      <w:bodyDiv w:val="1"/>
      <w:marLeft w:val="0"/>
      <w:marRight w:val="0"/>
      <w:marTop w:val="0"/>
      <w:marBottom w:val="0"/>
      <w:divBdr>
        <w:top w:val="none" w:sz="0" w:space="0" w:color="auto"/>
        <w:left w:val="none" w:sz="0" w:space="0" w:color="auto"/>
        <w:bottom w:val="none" w:sz="0" w:space="0" w:color="auto"/>
        <w:right w:val="none" w:sz="0" w:space="0" w:color="auto"/>
      </w:divBdr>
    </w:div>
    <w:div w:id="413167103">
      <w:bodyDiv w:val="1"/>
      <w:marLeft w:val="0"/>
      <w:marRight w:val="0"/>
      <w:marTop w:val="0"/>
      <w:marBottom w:val="0"/>
      <w:divBdr>
        <w:top w:val="none" w:sz="0" w:space="0" w:color="auto"/>
        <w:left w:val="none" w:sz="0" w:space="0" w:color="auto"/>
        <w:bottom w:val="none" w:sz="0" w:space="0" w:color="auto"/>
        <w:right w:val="none" w:sz="0" w:space="0" w:color="auto"/>
      </w:divBdr>
    </w:div>
    <w:div w:id="421337785">
      <w:bodyDiv w:val="1"/>
      <w:marLeft w:val="0"/>
      <w:marRight w:val="0"/>
      <w:marTop w:val="0"/>
      <w:marBottom w:val="0"/>
      <w:divBdr>
        <w:top w:val="none" w:sz="0" w:space="0" w:color="auto"/>
        <w:left w:val="none" w:sz="0" w:space="0" w:color="auto"/>
        <w:bottom w:val="none" w:sz="0" w:space="0" w:color="auto"/>
        <w:right w:val="none" w:sz="0" w:space="0" w:color="auto"/>
      </w:divBdr>
    </w:div>
    <w:div w:id="430703879">
      <w:bodyDiv w:val="1"/>
      <w:marLeft w:val="0"/>
      <w:marRight w:val="0"/>
      <w:marTop w:val="0"/>
      <w:marBottom w:val="0"/>
      <w:divBdr>
        <w:top w:val="none" w:sz="0" w:space="0" w:color="auto"/>
        <w:left w:val="none" w:sz="0" w:space="0" w:color="auto"/>
        <w:bottom w:val="none" w:sz="0" w:space="0" w:color="auto"/>
        <w:right w:val="none" w:sz="0" w:space="0" w:color="auto"/>
      </w:divBdr>
    </w:div>
    <w:div w:id="430854683">
      <w:bodyDiv w:val="1"/>
      <w:marLeft w:val="0"/>
      <w:marRight w:val="0"/>
      <w:marTop w:val="0"/>
      <w:marBottom w:val="0"/>
      <w:divBdr>
        <w:top w:val="none" w:sz="0" w:space="0" w:color="auto"/>
        <w:left w:val="none" w:sz="0" w:space="0" w:color="auto"/>
        <w:bottom w:val="none" w:sz="0" w:space="0" w:color="auto"/>
        <w:right w:val="none" w:sz="0" w:space="0" w:color="auto"/>
      </w:divBdr>
    </w:div>
    <w:div w:id="436946753">
      <w:bodyDiv w:val="1"/>
      <w:marLeft w:val="0"/>
      <w:marRight w:val="0"/>
      <w:marTop w:val="0"/>
      <w:marBottom w:val="0"/>
      <w:divBdr>
        <w:top w:val="none" w:sz="0" w:space="0" w:color="auto"/>
        <w:left w:val="none" w:sz="0" w:space="0" w:color="auto"/>
        <w:bottom w:val="none" w:sz="0" w:space="0" w:color="auto"/>
        <w:right w:val="none" w:sz="0" w:space="0" w:color="auto"/>
      </w:divBdr>
    </w:div>
    <w:div w:id="451562090">
      <w:bodyDiv w:val="1"/>
      <w:marLeft w:val="0"/>
      <w:marRight w:val="0"/>
      <w:marTop w:val="0"/>
      <w:marBottom w:val="0"/>
      <w:divBdr>
        <w:top w:val="none" w:sz="0" w:space="0" w:color="auto"/>
        <w:left w:val="none" w:sz="0" w:space="0" w:color="auto"/>
        <w:bottom w:val="none" w:sz="0" w:space="0" w:color="auto"/>
        <w:right w:val="none" w:sz="0" w:space="0" w:color="auto"/>
      </w:divBdr>
    </w:div>
    <w:div w:id="459149233">
      <w:bodyDiv w:val="1"/>
      <w:marLeft w:val="0"/>
      <w:marRight w:val="0"/>
      <w:marTop w:val="0"/>
      <w:marBottom w:val="0"/>
      <w:divBdr>
        <w:top w:val="none" w:sz="0" w:space="0" w:color="auto"/>
        <w:left w:val="none" w:sz="0" w:space="0" w:color="auto"/>
        <w:bottom w:val="none" w:sz="0" w:space="0" w:color="auto"/>
        <w:right w:val="none" w:sz="0" w:space="0" w:color="auto"/>
      </w:divBdr>
      <w:divsChild>
        <w:div w:id="1352875463">
          <w:marLeft w:val="0"/>
          <w:marRight w:val="0"/>
          <w:marTop w:val="0"/>
          <w:marBottom w:val="0"/>
          <w:divBdr>
            <w:top w:val="none" w:sz="0" w:space="0" w:color="auto"/>
            <w:left w:val="none" w:sz="0" w:space="0" w:color="auto"/>
            <w:bottom w:val="none" w:sz="0" w:space="0" w:color="auto"/>
            <w:right w:val="none" w:sz="0" w:space="0" w:color="auto"/>
          </w:divBdr>
        </w:div>
      </w:divsChild>
    </w:div>
    <w:div w:id="467431237">
      <w:bodyDiv w:val="1"/>
      <w:marLeft w:val="0"/>
      <w:marRight w:val="0"/>
      <w:marTop w:val="0"/>
      <w:marBottom w:val="0"/>
      <w:divBdr>
        <w:top w:val="none" w:sz="0" w:space="0" w:color="auto"/>
        <w:left w:val="none" w:sz="0" w:space="0" w:color="auto"/>
        <w:bottom w:val="none" w:sz="0" w:space="0" w:color="auto"/>
        <w:right w:val="none" w:sz="0" w:space="0" w:color="auto"/>
      </w:divBdr>
    </w:div>
    <w:div w:id="472529130">
      <w:bodyDiv w:val="1"/>
      <w:marLeft w:val="0"/>
      <w:marRight w:val="0"/>
      <w:marTop w:val="0"/>
      <w:marBottom w:val="0"/>
      <w:divBdr>
        <w:top w:val="none" w:sz="0" w:space="0" w:color="auto"/>
        <w:left w:val="none" w:sz="0" w:space="0" w:color="auto"/>
        <w:bottom w:val="none" w:sz="0" w:space="0" w:color="auto"/>
        <w:right w:val="none" w:sz="0" w:space="0" w:color="auto"/>
      </w:divBdr>
    </w:div>
    <w:div w:id="478621439">
      <w:bodyDiv w:val="1"/>
      <w:marLeft w:val="0"/>
      <w:marRight w:val="0"/>
      <w:marTop w:val="0"/>
      <w:marBottom w:val="0"/>
      <w:divBdr>
        <w:top w:val="none" w:sz="0" w:space="0" w:color="auto"/>
        <w:left w:val="none" w:sz="0" w:space="0" w:color="auto"/>
        <w:bottom w:val="none" w:sz="0" w:space="0" w:color="auto"/>
        <w:right w:val="none" w:sz="0" w:space="0" w:color="auto"/>
      </w:divBdr>
    </w:div>
    <w:div w:id="480343293">
      <w:bodyDiv w:val="1"/>
      <w:marLeft w:val="0"/>
      <w:marRight w:val="0"/>
      <w:marTop w:val="0"/>
      <w:marBottom w:val="0"/>
      <w:divBdr>
        <w:top w:val="none" w:sz="0" w:space="0" w:color="auto"/>
        <w:left w:val="none" w:sz="0" w:space="0" w:color="auto"/>
        <w:bottom w:val="none" w:sz="0" w:space="0" w:color="auto"/>
        <w:right w:val="none" w:sz="0" w:space="0" w:color="auto"/>
      </w:divBdr>
    </w:div>
    <w:div w:id="486940887">
      <w:bodyDiv w:val="1"/>
      <w:marLeft w:val="0"/>
      <w:marRight w:val="0"/>
      <w:marTop w:val="0"/>
      <w:marBottom w:val="0"/>
      <w:divBdr>
        <w:top w:val="none" w:sz="0" w:space="0" w:color="auto"/>
        <w:left w:val="none" w:sz="0" w:space="0" w:color="auto"/>
        <w:bottom w:val="none" w:sz="0" w:space="0" w:color="auto"/>
        <w:right w:val="none" w:sz="0" w:space="0" w:color="auto"/>
      </w:divBdr>
    </w:div>
    <w:div w:id="492717922">
      <w:bodyDiv w:val="1"/>
      <w:marLeft w:val="0"/>
      <w:marRight w:val="0"/>
      <w:marTop w:val="0"/>
      <w:marBottom w:val="0"/>
      <w:divBdr>
        <w:top w:val="none" w:sz="0" w:space="0" w:color="auto"/>
        <w:left w:val="none" w:sz="0" w:space="0" w:color="auto"/>
        <w:bottom w:val="none" w:sz="0" w:space="0" w:color="auto"/>
        <w:right w:val="none" w:sz="0" w:space="0" w:color="auto"/>
      </w:divBdr>
    </w:div>
    <w:div w:id="497041440">
      <w:bodyDiv w:val="1"/>
      <w:marLeft w:val="0"/>
      <w:marRight w:val="0"/>
      <w:marTop w:val="0"/>
      <w:marBottom w:val="0"/>
      <w:divBdr>
        <w:top w:val="none" w:sz="0" w:space="0" w:color="auto"/>
        <w:left w:val="none" w:sz="0" w:space="0" w:color="auto"/>
        <w:bottom w:val="none" w:sz="0" w:space="0" w:color="auto"/>
        <w:right w:val="none" w:sz="0" w:space="0" w:color="auto"/>
      </w:divBdr>
    </w:div>
    <w:div w:id="498034362">
      <w:bodyDiv w:val="1"/>
      <w:marLeft w:val="0"/>
      <w:marRight w:val="0"/>
      <w:marTop w:val="0"/>
      <w:marBottom w:val="0"/>
      <w:divBdr>
        <w:top w:val="none" w:sz="0" w:space="0" w:color="auto"/>
        <w:left w:val="none" w:sz="0" w:space="0" w:color="auto"/>
        <w:bottom w:val="none" w:sz="0" w:space="0" w:color="auto"/>
        <w:right w:val="none" w:sz="0" w:space="0" w:color="auto"/>
      </w:divBdr>
    </w:div>
    <w:div w:id="508495458">
      <w:bodyDiv w:val="1"/>
      <w:marLeft w:val="0"/>
      <w:marRight w:val="0"/>
      <w:marTop w:val="0"/>
      <w:marBottom w:val="0"/>
      <w:divBdr>
        <w:top w:val="none" w:sz="0" w:space="0" w:color="auto"/>
        <w:left w:val="none" w:sz="0" w:space="0" w:color="auto"/>
        <w:bottom w:val="none" w:sz="0" w:space="0" w:color="auto"/>
        <w:right w:val="none" w:sz="0" w:space="0" w:color="auto"/>
      </w:divBdr>
    </w:div>
    <w:div w:id="512039969">
      <w:bodyDiv w:val="1"/>
      <w:marLeft w:val="0"/>
      <w:marRight w:val="0"/>
      <w:marTop w:val="0"/>
      <w:marBottom w:val="0"/>
      <w:divBdr>
        <w:top w:val="none" w:sz="0" w:space="0" w:color="auto"/>
        <w:left w:val="none" w:sz="0" w:space="0" w:color="auto"/>
        <w:bottom w:val="none" w:sz="0" w:space="0" w:color="auto"/>
        <w:right w:val="none" w:sz="0" w:space="0" w:color="auto"/>
      </w:divBdr>
      <w:divsChild>
        <w:div w:id="1196885897">
          <w:marLeft w:val="0"/>
          <w:marRight w:val="0"/>
          <w:marTop w:val="0"/>
          <w:marBottom w:val="0"/>
          <w:divBdr>
            <w:top w:val="none" w:sz="0" w:space="0" w:color="auto"/>
            <w:left w:val="none" w:sz="0" w:space="0" w:color="auto"/>
            <w:bottom w:val="none" w:sz="0" w:space="0" w:color="auto"/>
            <w:right w:val="none" w:sz="0" w:space="0" w:color="auto"/>
          </w:divBdr>
          <w:divsChild>
            <w:div w:id="946081294">
              <w:marLeft w:val="0"/>
              <w:marRight w:val="0"/>
              <w:marTop w:val="0"/>
              <w:marBottom w:val="0"/>
              <w:divBdr>
                <w:top w:val="none" w:sz="0" w:space="0" w:color="auto"/>
                <w:left w:val="none" w:sz="0" w:space="0" w:color="auto"/>
                <w:bottom w:val="none" w:sz="0" w:space="0" w:color="auto"/>
                <w:right w:val="none" w:sz="0" w:space="0" w:color="auto"/>
              </w:divBdr>
              <w:divsChild>
                <w:div w:id="991569620">
                  <w:marLeft w:val="0"/>
                  <w:marRight w:val="0"/>
                  <w:marTop w:val="0"/>
                  <w:marBottom w:val="0"/>
                  <w:divBdr>
                    <w:top w:val="none" w:sz="0" w:space="0" w:color="auto"/>
                    <w:left w:val="none" w:sz="0" w:space="0" w:color="auto"/>
                    <w:bottom w:val="none" w:sz="0" w:space="0" w:color="auto"/>
                    <w:right w:val="none" w:sz="0" w:space="0" w:color="auto"/>
                  </w:divBdr>
                  <w:divsChild>
                    <w:div w:id="2066681808">
                      <w:marLeft w:val="0"/>
                      <w:marRight w:val="0"/>
                      <w:marTop w:val="0"/>
                      <w:marBottom w:val="0"/>
                      <w:divBdr>
                        <w:top w:val="none" w:sz="0" w:space="0" w:color="auto"/>
                        <w:left w:val="none" w:sz="0" w:space="0" w:color="auto"/>
                        <w:bottom w:val="none" w:sz="0" w:space="0" w:color="auto"/>
                        <w:right w:val="none" w:sz="0" w:space="0" w:color="auto"/>
                      </w:divBdr>
                      <w:divsChild>
                        <w:div w:id="5138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179880">
      <w:bodyDiv w:val="1"/>
      <w:marLeft w:val="0"/>
      <w:marRight w:val="0"/>
      <w:marTop w:val="0"/>
      <w:marBottom w:val="0"/>
      <w:divBdr>
        <w:top w:val="none" w:sz="0" w:space="0" w:color="auto"/>
        <w:left w:val="none" w:sz="0" w:space="0" w:color="auto"/>
        <w:bottom w:val="none" w:sz="0" w:space="0" w:color="auto"/>
        <w:right w:val="none" w:sz="0" w:space="0" w:color="auto"/>
      </w:divBdr>
    </w:div>
    <w:div w:id="525756291">
      <w:bodyDiv w:val="1"/>
      <w:marLeft w:val="0"/>
      <w:marRight w:val="0"/>
      <w:marTop w:val="0"/>
      <w:marBottom w:val="0"/>
      <w:divBdr>
        <w:top w:val="none" w:sz="0" w:space="0" w:color="auto"/>
        <w:left w:val="none" w:sz="0" w:space="0" w:color="auto"/>
        <w:bottom w:val="none" w:sz="0" w:space="0" w:color="auto"/>
        <w:right w:val="none" w:sz="0" w:space="0" w:color="auto"/>
      </w:divBdr>
    </w:div>
    <w:div w:id="526330191">
      <w:bodyDiv w:val="1"/>
      <w:marLeft w:val="0"/>
      <w:marRight w:val="0"/>
      <w:marTop w:val="0"/>
      <w:marBottom w:val="0"/>
      <w:divBdr>
        <w:top w:val="none" w:sz="0" w:space="0" w:color="auto"/>
        <w:left w:val="none" w:sz="0" w:space="0" w:color="auto"/>
        <w:bottom w:val="none" w:sz="0" w:space="0" w:color="auto"/>
        <w:right w:val="none" w:sz="0" w:space="0" w:color="auto"/>
      </w:divBdr>
    </w:div>
    <w:div w:id="526717753">
      <w:bodyDiv w:val="1"/>
      <w:marLeft w:val="0"/>
      <w:marRight w:val="0"/>
      <w:marTop w:val="0"/>
      <w:marBottom w:val="0"/>
      <w:divBdr>
        <w:top w:val="none" w:sz="0" w:space="0" w:color="auto"/>
        <w:left w:val="none" w:sz="0" w:space="0" w:color="auto"/>
        <w:bottom w:val="none" w:sz="0" w:space="0" w:color="auto"/>
        <w:right w:val="none" w:sz="0" w:space="0" w:color="auto"/>
      </w:divBdr>
    </w:div>
    <w:div w:id="541401632">
      <w:bodyDiv w:val="1"/>
      <w:marLeft w:val="0"/>
      <w:marRight w:val="0"/>
      <w:marTop w:val="0"/>
      <w:marBottom w:val="0"/>
      <w:divBdr>
        <w:top w:val="none" w:sz="0" w:space="0" w:color="auto"/>
        <w:left w:val="none" w:sz="0" w:space="0" w:color="auto"/>
        <w:bottom w:val="none" w:sz="0" w:space="0" w:color="auto"/>
        <w:right w:val="none" w:sz="0" w:space="0" w:color="auto"/>
      </w:divBdr>
    </w:div>
    <w:div w:id="544559046">
      <w:bodyDiv w:val="1"/>
      <w:marLeft w:val="0"/>
      <w:marRight w:val="0"/>
      <w:marTop w:val="0"/>
      <w:marBottom w:val="0"/>
      <w:divBdr>
        <w:top w:val="none" w:sz="0" w:space="0" w:color="auto"/>
        <w:left w:val="none" w:sz="0" w:space="0" w:color="auto"/>
        <w:bottom w:val="none" w:sz="0" w:space="0" w:color="auto"/>
        <w:right w:val="none" w:sz="0" w:space="0" w:color="auto"/>
      </w:divBdr>
    </w:div>
    <w:div w:id="545799209">
      <w:bodyDiv w:val="1"/>
      <w:marLeft w:val="0"/>
      <w:marRight w:val="0"/>
      <w:marTop w:val="0"/>
      <w:marBottom w:val="0"/>
      <w:divBdr>
        <w:top w:val="none" w:sz="0" w:space="0" w:color="auto"/>
        <w:left w:val="none" w:sz="0" w:space="0" w:color="auto"/>
        <w:bottom w:val="none" w:sz="0" w:space="0" w:color="auto"/>
        <w:right w:val="none" w:sz="0" w:space="0" w:color="auto"/>
      </w:divBdr>
    </w:div>
    <w:div w:id="548298776">
      <w:bodyDiv w:val="1"/>
      <w:marLeft w:val="0"/>
      <w:marRight w:val="0"/>
      <w:marTop w:val="0"/>
      <w:marBottom w:val="0"/>
      <w:divBdr>
        <w:top w:val="none" w:sz="0" w:space="0" w:color="auto"/>
        <w:left w:val="none" w:sz="0" w:space="0" w:color="auto"/>
        <w:bottom w:val="none" w:sz="0" w:space="0" w:color="auto"/>
        <w:right w:val="none" w:sz="0" w:space="0" w:color="auto"/>
      </w:divBdr>
    </w:div>
    <w:div w:id="554003563">
      <w:bodyDiv w:val="1"/>
      <w:marLeft w:val="0"/>
      <w:marRight w:val="0"/>
      <w:marTop w:val="0"/>
      <w:marBottom w:val="0"/>
      <w:divBdr>
        <w:top w:val="none" w:sz="0" w:space="0" w:color="auto"/>
        <w:left w:val="none" w:sz="0" w:space="0" w:color="auto"/>
        <w:bottom w:val="none" w:sz="0" w:space="0" w:color="auto"/>
        <w:right w:val="none" w:sz="0" w:space="0" w:color="auto"/>
      </w:divBdr>
    </w:div>
    <w:div w:id="563104146">
      <w:bodyDiv w:val="1"/>
      <w:marLeft w:val="0"/>
      <w:marRight w:val="0"/>
      <w:marTop w:val="0"/>
      <w:marBottom w:val="0"/>
      <w:divBdr>
        <w:top w:val="none" w:sz="0" w:space="0" w:color="auto"/>
        <w:left w:val="none" w:sz="0" w:space="0" w:color="auto"/>
        <w:bottom w:val="none" w:sz="0" w:space="0" w:color="auto"/>
        <w:right w:val="none" w:sz="0" w:space="0" w:color="auto"/>
      </w:divBdr>
    </w:div>
    <w:div w:id="576211135">
      <w:bodyDiv w:val="1"/>
      <w:marLeft w:val="0"/>
      <w:marRight w:val="0"/>
      <w:marTop w:val="0"/>
      <w:marBottom w:val="0"/>
      <w:divBdr>
        <w:top w:val="none" w:sz="0" w:space="0" w:color="auto"/>
        <w:left w:val="none" w:sz="0" w:space="0" w:color="auto"/>
        <w:bottom w:val="none" w:sz="0" w:space="0" w:color="auto"/>
        <w:right w:val="none" w:sz="0" w:space="0" w:color="auto"/>
      </w:divBdr>
    </w:div>
    <w:div w:id="577635202">
      <w:bodyDiv w:val="1"/>
      <w:marLeft w:val="0"/>
      <w:marRight w:val="0"/>
      <w:marTop w:val="0"/>
      <w:marBottom w:val="0"/>
      <w:divBdr>
        <w:top w:val="none" w:sz="0" w:space="0" w:color="auto"/>
        <w:left w:val="none" w:sz="0" w:space="0" w:color="auto"/>
        <w:bottom w:val="none" w:sz="0" w:space="0" w:color="auto"/>
        <w:right w:val="none" w:sz="0" w:space="0" w:color="auto"/>
      </w:divBdr>
    </w:div>
    <w:div w:id="596596919">
      <w:bodyDiv w:val="1"/>
      <w:marLeft w:val="0"/>
      <w:marRight w:val="0"/>
      <w:marTop w:val="0"/>
      <w:marBottom w:val="0"/>
      <w:divBdr>
        <w:top w:val="none" w:sz="0" w:space="0" w:color="auto"/>
        <w:left w:val="none" w:sz="0" w:space="0" w:color="auto"/>
        <w:bottom w:val="none" w:sz="0" w:space="0" w:color="auto"/>
        <w:right w:val="none" w:sz="0" w:space="0" w:color="auto"/>
      </w:divBdr>
    </w:div>
    <w:div w:id="602806401">
      <w:bodyDiv w:val="1"/>
      <w:marLeft w:val="0"/>
      <w:marRight w:val="0"/>
      <w:marTop w:val="0"/>
      <w:marBottom w:val="0"/>
      <w:divBdr>
        <w:top w:val="none" w:sz="0" w:space="0" w:color="auto"/>
        <w:left w:val="none" w:sz="0" w:space="0" w:color="auto"/>
        <w:bottom w:val="none" w:sz="0" w:space="0" w:color="auto"/>
        <w:right w:val="none" w:sz="0" w:space="0" w:color="auto"/>
      </w:divBdr>
    </w:div>
    <w:div w:id="617105741">
      <w:bodyDiv w:val="1"/>
      <w:marLeft w:val="0"/>
      <w:marRight w:val="0"/>
      <w:marTop w:val="0"/>
      <w:marBottom w:val="0"/>
      <w:divBdr>
        <w:top w:val="none" w:sz="0" w:space="0" w:color="auto"/>
        <w:left w:val="none" w:sz="0" w:space="0" w:color="auto"/>
        <w:bottom w:val="none" w:sz="0" w:space="0" w:color="auto"/>
        <w:right w:val="none" w:sz="0" w:space="0" w:color="auto"/>
      </w:divBdr>
    </w:div>
    <w:div w:id="627709917">
      <w:bodyDiv w:val="1"/>
      <w:marLeft w:val="0"/>
      <w:marRight w:val="0"/>
      <w:marTop w:val="0"/>
      <w:marBottom w:val="0"/>
      <w:divBdr>
        <w:top w:val="none" w:sz="0" w:space="0" w:color="auto"/>
        <w:left w:val="none" w:sz="0" w:space="0" w:color="auto"/>
        <w:bottom w:val="none" w:sz="0" w:space="0" w:color="auto"/>
        <w:right w:val="none" w:sz="0" w:space="0" w:color="auto"/>
      </w:divBdr>
    </w:div>
    <w:div w:id="632709642">
      <w:bodyDiv w:val="1"/>
      <w:marLeft w:val="0"/>
      <w:marRight w:val="0"/>
      <w:marTop w:val="0"/>
      <w:marBottom w:val="0"/>
      <w:divBdr>
        <w:top w:val="none" w:sz="0" w:space="0" w:color="auto"/>
        <w:left w:val="none" w:sz="0" w:space="0" w:color="auto"/>
        <w:bottom w:val="none" w:sz="0" w:space="0" w:color="auto"/>
        <w:right w:val="none" w:sz="0" w:space="0" w:color="auto"/>
      </w:divBdr>
    </w:div>
    <w:div w:id="638263744">
      <w:bodyDiv w:val="1"/>
      <w:marLeft w:val="0"/>
      <w:marRight w:val="0"/>
      <w:marTop w:val="0"/>
      <w:marBottom w:val="0"/>
      <w:divBdr>
        <w:top w:val="none" w:sz="0" w:space="0" w:color="auto"/>
        <w:left w:val="none" w:sz="0" w:space="0" w:color="auto"/>
        <w:bottom w:val="none" w:sz="0" w:space="0" w:color="auto"/>
        <w:right w:val="none" w:sz="0" w:space="0" w:color="auto"/>
      </w:divBdr>
    </w:div>
    <w:div w:id="640187082">
      <w:bodyDiv w:val="1"/>
      <w:marLeft w:val="0"/>
      <w:marRight w:val="0"/>
      <w:marTop w:val="0"/>
      <w:marBottom w:val="0"/>
      <w:divBdr>
        <w:top w:val="none" w:sz="0" w:space="0" w:color="auto"/>
        <w:left w:val="none" w:sz="0" w:space="0" w:color="auto"/>
        <w:bottom w:val="none" w:sz="0" w:space="0" w:color="auto"/>
        <w:right w:val="none" w:sz="0" w:space="0" w:color="auto"/>
      </w:divBdr>
    </w:div>
    <w:div w:id="640236389">
      <w:bodyDiv w:val="1"/>
      <w:marLeft w:val="0"/>
      <w:marRight w:val="0"/>
      <w:marTop w:val="0"/>
      <w:marBottom w:val="0"/>
      <w:divBdr>
        <w:top w:val="none" w:sz="0" w:space="0" w:color="auto"/>
        <w:left w:val="none" w:sz="0" w:space="0" w:color="auto"/>
        <w:bottom w:val="none" w:sz="0" w:space="0" w:color="auto"/>
        <w:right w:val="none" w:sz="0" w:space="0" w:color="auto"/>
      </w:divBdr>
    </w:div>
    <w:div w:id="649599281">
      <w:bodyDiv w:val="1"/>
      <w:marLeft w:val="0"/>
      <w:marRight w:val="0"/>
      <w:marTop w:val="0"/>
      <w:marBottom w:val="0"/>
      <w:divBdr>
        <w:top w:val="none" w:sz="0" w:space="0" w:color="auto"/>
        <w:left w:val="none" w:sz="0" w:space="0" w:color="auto"/>
        <w:bottom w:val="none" w:sz="0" w:space="0" w:color="auto"/>
        <w:right w:val="none" w:sz="0" w:space="0" w:color="auto"/>
      </w:divBdr>
    </w:div>
    <w:div w:id="650212703">
      <w:bodyDiv w:val="1"/>
      <w:marLeft w:val="0"/>
      <w:marRight w:val="0"/>
      <w:marTop w:val="0"/>
      <w:marBottom w:val="0"/>
      <w:divBdr>
        <w:top w:val="none" w:sz="0" w:space="0" w:color="auto"/>
        <w:left w:val="none" w:sz="0" w:space="0" w:color="auto"/>
        <w:bottom w:val="none" w:sz="0" w:space="0" w:color="auto"/>
        <w:right w:val="none" w:sz="0" w:space="0" w:color="auto"/>
      </w:divBdr>
    </w:div>
    <w:div w:id="659889238">
      <w:bodyDiv w:val="1"/>
      <w:marLeft w:val="0"/>
      <w:marRight w:val="0"/>
      <w:marTop w:val="0"/>
      <w:marBottom w:val="0"/>
      <w:divBdr>
        <w:top w:val="none" w:sz="0" w:space="0" w:color="auto"/>
        <w:left w:val="none" w:sz="0" w:space="0" w:color="auto"/>
        <w:bottom w:val="none" w:sz="0" w:space="0" w:color="auto"/>
        <w:right w:val="none" w:sz="0" w:space="0" w:color="auto"/>
      </w:divBdr>
    </w:div>
    <w:div w:id="668219870">
      <w:bodyDiv w:val="1"/>
      <w:marLeft w:val="0"/>
      <w:marRight w:val="0"/>
      <w:marTop w:val="0"/>
      <w:marBottom w:val="0"/>
      <w:divBdr>
        <w:top w:val="none" w:sz="0" w:space="0" w:color="auto"/>
        <w:left w:val="none" w:sz="0" w:space="0" w:color="auto"/>
        <w:bottom w:val="none" w:sz="0" w:space="0" w:color="auto"/>
        <w:right w:val="none" w:sz="0" w:space="0" w:color="auto"/>
      </w:divBdr>
    </w:div>
    <w:div w:id="687830468">
      <w:bodyDiv w:val="1"/>
      <w:marLeft w:val="0"/>
      <w:marRight w:val="0"/>
      <w:marTop w:val="0"/>
      <w:marBottom w:val="0"/>
      <w:divBdr>
        <w:top w:val="none" w:sz="0" w:space="0" w:color="auto"/>
        <w:left w:val="none" w:sz="0" w:space="0" w:color="auto"/>
        <w:bottom w:val="none" w:sz="0" w:space="0" w:color="auto"/>
        <w:right w:val="none" w:sz="0" w:space="0" w:color="auto"/>
      </w:divBdr>
    </w:div>
    <w:div w:id="688217149">
      <w:bodyDiv w:val="1"/>
      <w:marLeft w:val="0"/>
      <w:marRight w:val="0"/>
      <w:marTop w:val="0"/>
      <w:marBottom w:val="0"/>
      <w:divBdr>
        <w:top w:val="none" w:sz="0" w:space="0" w:color="auto"/>
        <w:left w:val="none" w:sz="0" w:space="0" w:color="auto"/>
        <w:bottom w:val="none" w:sz="0" w:space="0" w:color="auto"/>
        <w:right w:val="none" w:sz="0" w:space="0" w:color="auto"/>
      </w:divBdr>
    </w:div>
    <w:div w:id="691565396">
      <w:bodyDiv w:val="1"/>
      <w:marLeft w:val="0"/>
      <w:marRight w:val="0"/>
      <w:marTop w:val="0"/>
      <w:marBottom w:val="0"/>
      <w:divBdr>
        <w:top w:val="none" w:sz="0" w:space="0" w:color="auto"/>
        <w:left w:val="none" w:sz="0" w:space="0" w:color="auto"/>
        <w:bottom w:val="none" w:sz="0" w:space="0" w:color="auto"/>
        <w:right w:val="none" w:sz="0" w:space="0" w:color="auto"/>
      </w:divBdr>
    </w:div>
    <w:div w:id="697124810">
      <w:bodyDiv w:val="1"/>
      <w:marLeft w:val="0"/>
      <w:marRight w:val="0"/>
      <w:marTop w:val="0"/>
      <w:marBottom w:val="0"/>
      <w:divBdr>
        <w:top w:val="none" w:sz="0" w:space="0" w:color="auto"/>
        <w:left w:val="none" w:sz="0" w:space="0" w:color="auto"/>
        <w:bottom w:val="none" w:sz="0" w:space="0" w:color="auto"/>
        <w:right w:val="none" w:sz="0" w:space="0" w:color="auto"/>
      </w:divBdr>
    </w:div>
    <w:div w:id="704256593">
      <w:bodyDiv w:val="1"/>
      <w:marLeft w:val="0"/>
      <w:marRight w:val="0"/>
      <w:marTop w:val="0"/>
      <w:marBottom w:val="0"/>
      <w:divBdr>
        <w:top w:val="none" w:sz="0" w:space="0" w:color="auto"/>
        <w:left w:val="none" w:sz="0" w:space="0" w:color="auto"/>
        <w:bottom w:val="none" w:sz="0" w:space="0" w:color="auto"/>
        <w:right w:val="none" w:sz="0" w:space="0" w:color="auto"/>
      </w:divBdr>
    </w:div>
    <w:div w:id="726805457">
      <w:bodyDiv w:val="1"/>
      <w:marLeft w:val="0"/>
      <w:marRight w:val="0"/>
      <w:marTop w:val="0"/>
      <w:marBottom w:val="0"/>
      <w:divBdr>
        <w:top w:val="none" w:sz="0" w:space="0" w:color="auto"/>
        <w:left w:val="none" w:sz="0" w:space="0" w:color="auto"/>
        <w:bottom w:val="none" w:sz="0" w:space="0" w:color="auto"/>
        <w:right w:val="none" w:sz="0" w:space="0" w:color="auto"/>
      </w:divBdr>
    </w:div>
    <w:div w:id="740057195">
      <w:bodyDiv w:val="1"/>
      <w:marLeft w:val="0"/>
      <w:marRight w:val="0"/>
      <w:marTop w:val="0"/>
      <w:marBottom w:val="0"/>
      <w:divBdr>
        <w:top w:val="none" w:sz="0" w:space="0" w:color="auto"/>
        <w:left w:val="none" w:sz="0" w:space="0" w:color="auto"/>
        <w:bottom w:val="none" w:sz="0" w:space="0" w:color="auto"/>
        <w:right w:val="none" w:sz="0" w:space="0" w:color="auto"/>
      </w:divBdr>
    </w:div>
    <w:div w:id="744379323">
      <w:bodyDiv w:val="1"/>
      <w:marLeft w:val="0"/>
      <w:marRight w:val="0"/>
      <w:marTop w:val="0"/>
      <w:marBottom w:val="0"/>
      <w:divBdr>
        <w:top w:val="none" w:sz="0" w:space="0" w:color="auto"/>
        <w:left w:val="none" w:sz="0" w:space="0" w:color="auto"/>
        <w:bottom w:val="none" w:sz="0" w:space="0" w:color="auto"/>
        <w:right w:val="none" w:sz="0" w:space="0" w:color="auto"/>
      </w:divBdr>
    </w:div>
    <w:div w:id="758984250">
      <w:bodyDiv w:val="1"/>
      <w:marLeft w:val="0"/>
      <w:marRight w:val="0"/>
      <w:marTop w:val="0"/>
      <w:marBottom w:val="0"/>
      <w:divBdr>
        <w:top w:val="none" w:sz="0" w:space="0" w:color="auto"/>
        <w:left w:val="none" w:sz="0" w:space="0" w:color="auto"/>
        <w:bottom w:val="none" w:sz="0" w:space="0" w:color="auto"/>
        <w:right w:val="none" w:sz="0" w:space="0" w:color="auto"/>
      </w:divBdr>
    </w:div>
    <w:div w:id="767896654">
      <w:bodyDiv w:val="1"/>
      <w:marLeft w:val="0"/>
      <w:marRight w:val="0"/>
      <w:marTop w:val="0"/>
      <w:marBottom w:val="0"/>
      <w:divBdr>
        <w:top w:val="none" w:sz="0" w:space="0" w:color="auto"/>
        <w:left w:val="none" w:sz="0" w:space="0" w:color="auto"/>
        <w:bottom w:val="none" w:sz="0" w:space="0" w:color="auto"/>
        <w:right w:val="none" w:sz="0" w:space="0" w:color="auto"/>
      </w:divBdr>
    </w:div>
    <w:div w:id="792672186">
      <w:bodyDiv w:val="1"/>
      <w:marLeft w:val="0"/>
      <w:marRight w:val="0"/>
      <w:marTop w:val="0"/>
      <w:marBottom w:val="0"/>
      <w:divBdr>
        <w:top w:val="none" w:sz="0" w:space="0" w:color="auto"/>
        <w:left w:val="none" w:sz="0" w:space="0" w:color="auto"/>
        <w:bottom w:val="none" w:sz="0" w:space="0" w:color="auto"/>
        <w:right w:val="none" w:sz="0" w:space="0" w:color="auto"/>
      </w:divBdr>
    </w:div>
    <w:div w:id="793475545">
      <w:bodyDiv w:val="1"/>
      <w:marLeft w:val="0"/>
      <w:marRight w:val="0"/>
      <w:marTop w:val="0"/>
      <w:marBottom w:val="0"/>
      <w:divBdr>
        <w:top w:val="none" w:sz="0" w:space="0" w:color="auto"/>
        <w:left w:val="none" w:sz="0" w:space="0" w:color="auto"/>
        <w:bottom w:val="none" w:sz="0" w:space="0" w:color="auto"/>
        <w:right w:val="none" w:sz="0" w:space="0" w:color="auto"/>
      </w:divBdr>
    </w:div>
    <w:div w:id="799229986">
      <w:bodyDiv w:val="1"/>
      <w:marLeft w:val="0"/>
      <w:marRight w:val="0"/>
      <w:marTop w:val="0"/>
      <w:marBottom w:val="0"/>
      <w:divBdr>
        <w:top w:val="none" w:sz="0" w:space="0" w:color="auto"/>
        <w:left w:val="none" w:sz="0" w:space="0" w:color="auto"/>
        <w:bottom w:val="none" w:sz="0" w:space="0" w:color="auto"/>
        <w:right w:val="none" w:sz="0" w:space="0" w:color="auto"/>
      </w:divBdr>
    </w:div>
    <w:div w:id="800423167">
      <w:bodyDiv w:val="1"/>
      <w:marLeft w:val="0"/>
      <w:marRight w:val="0"/>
      <w:marTop w:val="0"/>
      <w:marBottom w:val="0"/>
      <w:divBdr>
        <w:top w:val="none" w:sz="0" w:space="0" w:color="auto"/>
        <w:left w:val="none" w:sz="0" w:space="0" w:color="auto"/>
        <w:bottom w:val="none" w:sz="0" w:space="0" w:color="auto"/>
        <w:right w:val="none" w:sz="0" w:space="0" w:color="auto"/>
      </w:divBdr>
    </w:div>
    <w:div w:id="805854058">
      <w:bodyDiv w:val="1"/>
      <w:marLeft w:val="0"/>
      <w:marRight w:val="0"/>
      <w:marTop w:val="0"/>
      <w:marBottom w:val="0"/>
      <w:divBdr>
        <w:top w:val="none" w:sz="0" w:space="0" w:color="auto"/>
        <w:left w:val="none" w:sz="0" w:space="0" w:color="auto"/>
        <w:bottom w:val="none" w:sz="0" w:space="0" w:color="auto"/>
        <w:right w:val="none" w:sz="0" w:space="0" w:color="auto"/>
      </w:divBdr>
    </w:div>
    <w:div w:id="810252330">
      <w:bodyDiv w:val="1"/>
      <w:marLeft w:val="0"/>
      <w:marRight w:val="0"/>
      <w:marTop w:val="0"/>
      <w:marBottom w:val="0"/>
      <w:divBdr>
        <w:top w:val="none" w:sz="0" w:space="0" w:color="auto"/>
        <w:left w:val="none" w:sz="0" w:space="0" w:color="auto"/>
        <w:bottom w:val="none" w:sz="0" w:space="0" w:color="auto"/>
        <w:right w:val="none" w:sz="0" w:space="0" w:color="auto"/>
      </w:divBdr>
    </w:div>
    <w:div w:id="821118554">
      <w:bodyDiv w:val="1"/>
      <w:marLeft w:val="0"/>
      <w:marRight w:val="0"/>
      <w:marTop w:val="0"/>
      <w:marBottom w:val="0"/>
      <w:divBdr>
        <w:top w:val="none" w:sz="0" w:space="0" w:color="auto"/>
        <w:left w:val="none" w:sz="0" w:space="0" w:color="auto"/>
        <w:bottom w:val="none" w:sz="0" w:space="0" w:color="auto"/>
        <w:right w:val="none" w:sz="0" w:space="0" w:color="auto"/>
      </w:divBdr>
    </w:div>
    <w:div w:id="832919003">
      <w:bodyDiv w:val="1"/>
      <w:marLeft w:val="0"/>
      <w:marRight w:val="0"/>
      <w:marTop w:val="0"/>
      <w:marBottom w:val="0"/>
      <w:divBdr>
        <w:top w:val="none" w:sz="0" w:space="0" w:color="auto"/>
        <w:left w:val="none" w:sz="0" w:space="0" w:color="auto"/>
        <w:bottom w:val="none" w:sz="0" w:space="0" w:color="auto"/>
        <w:right w:val="none" w:sz="0" w:space="0" w:color="auto"/>
      </w:divBdr>
    </w:div>
    <w:div w:id="839275261">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416977">
      <w:bodyDiv w:val="1"/>
      <w:marLeft w:val="0"/>
      <w:marRight w:val="0"/>
      <w:marTop w:val="0"/>
      <w:marBottom w:val="0"/>
      <w:divBdr>
        <w:top w:val="none" w:sz="0" w:space="0" w:color="auto"/>
        <w:left w:val="none" w:sz="0" w:space="0" w:color="auto"/>
        <w:bottom w:val="none" w:sz="0" w:space="0" w:color="auto"/>
        <w:right w:val="none" w:sz="0" w:space="0" w:color="auto"/>
      </w:divBdr>
    </w:div>
    <w:div w:id="852770172">
      <w:bodyDiv w:val="1"/>
      <w:marLeft w:val="0"/>
      <w:marRight w:val="0"/>
      <w:marTop w:val="0"/>
      <w:marBottom w:val="0"/>
      <w:divBdr>
        <w:top w:val="none" w:sz="0" w:space="0" w:color="auto"/>
        <w:left w:val="none" w:sz="0" w:space="0" w:color="auto"/>
        <w:bottom w:val="none" w:sz="0" w:space="0" w:color="auto"/>
        <w:right w:val="none" w:sz="0" w:space="0" w:color="auto"/>
      </w:divBdr>
    </w:div>
    <w:div w:id="856231515">
      <w:bodyDiv w:val="1"/>
      <w:marLeft w:val="0"/>
      <w:marRight w:val="0"/>
      <w:marTop w:val="0"/>
      <w:marBottom w:val="0"/>
      <w:divBdr>
        <w:top w:val="none" w:sz="0" w:space="0" w:color="auto"/>
        <w:left w:val="none" w:sz="0" w:space="0" w:color="auto"/>
        <w:bottom w:val="none" w:sz="0" w:space="0" w:color="auto"/>
        <w:right w:val="none" w:sz="0" w:space="0" w:color="auto"/>
      </w:divBdr>
    </w:div>
    <w:div w:id="870874739">
      <w:bodyDiv w:val="1"/>
      <w:marLeft w:val="0"/>
      <w:marRight w:val="0"/>
      <w:marTop w:val="0"/>
      <w:marBottom w:val="0"/>
      <w:divBdr>
        <w:top w:val="none" w:sz="0" w:space="0" w:color="auto"/>
        <w:left w:val="none" w:sz="0" w:space="0" w:color="auto"/>
        <w:bottom w:val="none" w:sz="0" w:space="0" w:color="auto"/>
        <w:right w:val="none" w:sz="0" w:space="0" w:color="auto"/>
      </w:divBdr>
    </w:div>
    <w:div w:id="872839977">
      <w:bodyDiv w:val="1"/>
      <w:marLeft w:val="0"/>
      <w:marRight w:val="0"/>
      <w:marTop w:val="0"/>
      <w:marBottom w:val="0"/>
      <w:divBdr>
        <w:top w:val="none" w:sz="0" w:space="0" w:color="auto"/>
        <w:left w:val="none" w:sz="0" w:space="0" w:color="auto"/>
        <w:bottom w:val="none" w:sz="0" w:space="0" w:color="auto"/>
        <w:right w:val="none" w:sz="0" w:space="0" w:color="auto"/>
      </w:divBdr>
    </w:div>
    <w:div w:id="875509032">
      <w:bodyDiv w:val="1"/>
      <w:marLeft w:val="0"/>
      <w:marRight w:val="0"/>
      <w:marTop w:val="0"/>
      <w:marBottom w:val="0"/>
      <w:divBdr>
        <w:top w:val="none" w:sz="0" w:space="0" w:color="auto"/>
        <w:left w:val="none" w:sz="0" w:space="0" w:color="auto"/>
        <w:bottom w:val="none" w:sz="0" w:space="0" w:color="auto"/>
        <w:right w:val="none" w:sz="0" w:space="0" w:color="auto"/>
      </w:divBdr>
    </w:div>
    <w:div w:id="881745465">
      <w:bodyDiv w:val="1"/>
      <w:marLeft w:val="0"/>
      <w:marRight w:val="0"/>
      <w:marTop w:val="0"/>
      <w:marBottom w:val="0"/>
      <w:divBdr>
        <w:top w:val="none" w:sz="0" w:space="0" w:color="auto"/>
        <w:left w:val="none" w:sz="0" w:space="0" w:color="auto"/>
        <w:bottom w:val="none" w:sz="0" w:space="0" w:color="auto"/>
        <w:right w:val="none" w:sz="0" w:space="0" w:color="auto"/>
      </w:divBdr>
    </w:div>
    <w:div w:id="882059437">
      <w:bodyDiv w:val="1"/>
      <w:marLeft w:val="0"/>
      <w:marRight w:val="0"/>
      <w:marTop w:val="0"/>
      <w:marBottom w:val="0"/>
      <w:divBdr>
        <w:top w:val="none" w:sz="0" w:space="0" w:color="auto"/>
        <w:left w:val="none" w:sz="0" w:space="0" w:color="auto"/>
        <w:bottom w:val="none" w:sz="0" w:space="0" w:color="auto"/>
        <w:right w:val="none" w:sz="0" w:space="0" w:color="auto"/>
      </w:divBdr>
    </w:div>
    <w:div w:id="893351621">
      <w:bodyDiv w:val="1"/>
      <w:marLeft w:val="0"/>
      <w:marRight w:val="0"/>
      <w:marTop w:val="0"/>
      <w:marBottom w:val="0"/>
      <w:divBdr>
        <w:top w:val="none" w:sz="0" w:space="0" w:color="auto"/>
        <w:left w:val="none" w:sz="0" w:space="0" w:color="auto"/>
        <w:bottom w:val="none" w:sz="0" w:space="0" w:color="auto"/>
        <w:right w:val="none" w:sz="0" w:space="0" w:color="auto"/>
      </w:divBdr>
    </w:div>
    <w:div w:id="913318868">
      <w:bodyDiv w:val="1"/>
      <w:marLeft w:val="0"/>
      <w:marRight w:val="0"/>
      <w:marTop w:val="0"/>
      <w:marBottom w:val="0"/>
      <w:divBdr>
        <w:top w:val="none" w:sz="0" w:space="0" w:color="auto"/>
        <w:left w:val="none" w:sz="0" w:space="0" w:color="auto"/>
        <w:bottom w:val="none" w:sz="0" w:space="0" w:color="auto"/>
        <w:right w:val="none" w:sz="0" w:space="0" w:color="auto"/>
      </w:divBdr>
    </w:div>
    <w:div w:id="915748076">
      <w:bodyDiv w:val="1"/>
      <w:marLeft w:val="0"/>
      <w:marRight w:val="0"/>
      <w:marTop w:val="0"/>
      <w:marBottom w:val="0"/>
      <w:divBdr>
        <w:top w:val="none" w:sz="0" w:space="0" w:color="auto"/>
        <w:left w:val="none" w:sz="0" w:space="0" w:color="auto"/>
        <w:bottom w:val="none" w:sz="0" w:space="0" w:color="auto"/>
        <w:right w:val="none" w:sz="0" w:space="0" w:color="auto"/>
      </w:divBdr>
    </w:div>
    <w:div w:id="916132457">
      <w:bodyDiv w:val="1"/>
      <w:marLeft w:val="0"/>
      <w:marRight w:val="0"/>
      <w:marTop w:val="0"/>
      <w:marBottom w:val="0"/>
      <w:divBdr>
        <w:top w:val="none" w:sz="0" w:space="0" w:color="auto"/>
        <w:left w:val="none" w:sz="0" w:space="0" w:color="auto"/>
        <w:bottom w:val="none" w:sz="0" w:space="0" w:color="auto"/>
        <w:right w:val="none" w:sz="0" w:space="0" w:color="auto"/>
      </w:divBdr>
    </w:div>
    <w:div w:id="920214391">
      <w:bodyDiv w:val="1"/>
      <w:marLeft w:val="0"/>
      <w:marRight w:val="0"/>
      <w:marTop w:val="0"/>
      <w:marBottom w:val="0"/>
      <w:divBdr>
        <w:top w:val="none" w:sz="0" w:space="0" w:color="auto"/>
        <w:left w:val="none" w:sz="0" w:space="0" w:color="auto"/>
        <w:bottom w:val="none" w:sz="0" w:space="0" w:color="auto"/>
        <w:right w:val="none" w:sz="0" w:space="0" w:color="auto"/>
      </w:divBdr>
    </w:div>
    <w:div w:id="924149745">
      <w:bodyDiv w:val="1"/>
      <w:marLeft w:val="0"/>
      <w:marRight w:val="0"/>
      <w:marTop w:val="0"/>
      <w:marBottom w:val="0"/>
      <w:divBdr>
        <w:top w:val="none" w:sz="0" w:space="0" w:color="auto"/>
        <w:left w:val="none" w:sz="0" w:space="0" w:color="auto"/>
        <w:bottom w:val="none" w:sz="0" w:space="0" w:color="auto"/>
        <w:right w:val="none" w:sz="0" w:space="0" w:color="auto"/>
      </w:divBdr>
    </w:div>
    <w:div w:id="927157117">
      <w:bodyDiv w:val="1"/>
      <w:marLeft w:val="0"/>
      <w:marRight w:val="0"/>
      <w:marTop w:val="0"/>
      <w:marBottom w:val="0"/>
      <w:divBdr>
        <w:top w:val="none" w:sz="0" w:space="0" w:color="auto"/>
        <w:left w:val="none" w:sz="0" w:space="0" w:color="auto"/>
        <w:bottom w:val="none" w:sz="0" w:space="0" w:color="auto"/>
        <w:right w:val="none" w:sz="0" w:space="0" w:color="auto"/>
      </w:divBdr>
    </w:div>
    <w:div w:id="930044685">
      <w:bodyDiv w:val="1"/>
      <w:marLeft w:val="0"/>
      <w:marRight w:val="0"/>
      <w:marTop w:val="0"/>
      <w:marBottom w:val="0"/>
      <w:divBdr>
        <w:top w:val="none" w:sz="0" w:space="0" w:color="auto"/>
        <w:left w:val="none" w:sz="0" w:space="0" w:color="auto"/>
        <w:bottom w:val="none" w:sz="0" w:space="0" w:color="auto"/>
        <w:right w:val="none" w:sz="0" w:space="0" w:color="auto"/>
      </w:divBdr>
    </w:div>
    <w:div w:id="936868879">
      <w:bodyDiv w:val="1"/>
      <w:marLeft w:val="0"/>
      <w:marRight w:val="0"/>
      <w:marTop w:val="0"/>
      <w:marBottom w:val="0"/>
      <w:divBdr>
        <w:top w:val="none" w:sz="0" w:space="0" w:color="auto"/>
        <w:left w:val="none" w:sz="0" w:space="0" w:color="auto"/>
        <w:bottom w:val="none" w:sz="0" w:space="0" w:color="auto"/>
        <w:right w:val="none" w:sz="0" w:space="0" w:color="auto"/>
      </w:divBdr>
    </w:div>
    <w:div w:id="936907383">
      <w:bodyDiv w:val="1"/>
      <w:marLeft w:val="0"/>
      <w:marRight w:val="0"/>
      <w:marTop w:val="0"/>
      <w:marBottom w:val="0"/>
      <w:divBdr>
        <w:top w:val="none" w:sz="0" w:space="0" w:color="auto"/>
        <w:left w:val="none" w:sz="0" w:space="0" w:color="auto"/>
        <w:bottom w:val="none" w:sz="0" w:space="0" w:color="auto"/>
        <w:right w:val="none" w:sz="0" w:space="0" w:color="auto"/>
      </w:divBdr>
    </w:div>
    <w:div w:id="939676408">
      <w:bodyDiv w:val="1"/>
      <w:marLeft w:val="0"/>
      <w:marRight w:val="0"/>
      <w:marTop w:val="0"/>
      <w:marBottom w:val="0"/>
      <w:divBdr>
        <w:top w:val="none" w:sz="0" w:space="0" w:color="auto"/>
        <w:left w:val="none" w:sz="0" w:space="0" w:color="auto"/>
        <w:bottom w:val="none" w:sz="0" w:space="0" w:color="auto"/>
        <w:right w:val="none" w:sz="0" w:space="0" w:color="auto"/>
      </w:divBdr>
    </w:div>
    <w:div w:id="951983350">
      <w:bodyDiv w:val="1"/>
      <w:marLeft w:val="0"/>
      <w:marRight w:val="0"/>
      <w:marTop w:val="0"/>
      <w:marBottom w:val="0"/>
      <w:divBdr>
        <w:top w:val="none" w:sz="0" w:space="0" w:color="auto"/>
        <w:left w:val="none" w:sz="0" w:space="0" w:color="auto"/>
        <w:bottom w:val="none" w:sz="0" w:space="0" w:color="auto"/>
        <w:right w:val="none" w:sz="0" w:space="0" w:color="auto"/>
      </w:divBdr>
    </w:div>
    <w:div w:id="956834748">
      <w:bodyDiv w:val="1"/>
      <w:marLeft w:val="0"/>
      <w:marRight w:val="0"/>
      <w:marTop w:val="0"/>
      <w:marBottom w:val="0"/>
      <w:divBdr>
        <w:top w:val="none" w:sz="0" w:space="0" w:color="auto"/>
        <w:left w:val="none" w:sz="0" w:space="0" w:color="auto"/>
        <w:bottom w:val="none" w:sz="0" w:space="0" w:color="auto"/>
        <w:right w:val="none" w:sz="0" w:space="0" w:color="auto"/>
      </w:divBdr>
    </w:div>
    <w:div w:id="966661936">
      <w:bodyDiv w:val="1"/>
      <w:marLeft w:val="0"/>
      <w:marRight w:val="0"/>
      <w:marTop w:val="0"/>
      <w:marBottom w:val="0"/>
      <w:divBdr>
        <w:top w:val="none" w:sz="0" w:space="0" w:color="auto"/>
        <w:left w:val="none" w:sz="0" w:space="0" w:color="auto"/>
        <w:bottom w:val="none" w:sz="0" w:space="0" w:color="auto"/>
        <w:right w:val="none" w:sz="0" w:space="0" w:color="auto"/>
      </w:divBdr>
    </w:div>
    <w:div w:id="985167015">
      <w:bodyDiv w:val="1"/>
      <w:marLeft w:val="0"/>
      <w:marRight w:val="0"/>
      <w:marTop w:val="0"/>
      <w:marBottom w:val="0"/>
      <w:divBdr>
        <w:top w:val="none" w:sz="0" w:space="0" w:color="auto"/>
        <w:left w:val="none" w:sz="0" w:space="0" w:color="auto"/>
        <w:bottom w:val="none" w:sz="0" w:space="0" w:color="auto"/>
        <w:right w:val="none" w:sz="0" w:space="0" w:color="auto"/>
      </w:divBdr>
    </w:div>
    <w:div w:id="998994095">
      <w:bodyDiv w:val="1"/>
      <w:marLeft w:val="0"/>
      <w:marRight w:val="0"/>
      <w:marTop w:val="0"/>
      <w:marBottom w:val="0"/>
      <w:divBdr>
        <w:top w:val="none" w:sz="0" w:space="0" w:color="auto"/>
        <w:left w:val="none" w:sz="0" w:space="0" w:color="auto"/>
        <w:bottom w:val="none" w:sz="0" w:space="0" w:color="auto"/>
        <w:right w:val="none" w:sz="0" w:space="0" w:color="auto"/>
      </w:divBdr>
    </w:div>
    <w:div w:id="1004937279">
      <w:bodyDiv w:val="1"/>
      <w:marLeft w:val="0"/>
      <w:marRight w:val="0"/>
      <w:marTop w:val="0"/>
      <w:marBottom w:val="0"/>
      <w:divBdr>
        <w:top w:val="none" w:sz="0" w:space="0" w:color="auto"/>
        <w:left w:val="none" w:sz="0" w:space="0" w:color="auto"/>
        <w:bottom w:val="none" w:sz="0" w:space="0" w:color="auto"/>
        <w:right w:val="none" w:sz="0" w:space="0" w:color="auto"/>
      </w:divBdr>
    </w:div>
    <w:div w:id="1013921159">
      <w:bodyDiv w:val="1"/>
      <w:marLeft w:val="0"/>
      <w:marRight w:val="0"/>
      <w:marTop w:val="0"/>
      <w:marBottom w:val="0"/>
      <w:divBdr>
        <w:top w:val="none" w:sz="0" w:space="0" w:color="auto"/>
        <w:left w:val="none" w:sz="0" w:space="0" w:color="auto"/>
        <w:bottom w:val="none" w:sz="0" w:space="0" w:color="auto"/>
        <w:right w:val="none" w:sz="0" w:space="0" w:color="auto"/>
      </w:divBdr>
    </w:div>
    <w:div w:id="1034648176">
      <w:bodyDiv w:val="1"/>
      <w:marLeft w:val="0"/>
      <w:marRight w:val="0"/>
      <w:marTop w:val="0"/>
      <w:marBottom w:val="0"/>
      <w:divBdr>
        <w:top w:val="none" w:sz="0" w:space="0" w:color="auto"/>
        <w:left w:val="none" w:sz="0" w:space="0" w:color="auto"/>
        <w:bottom w:val="none" w:sz="0" w:space="0" w:color="auto"/>
        <w:right w:val="none" w:sz="0" w:space="0" w:color="auto"/>
      </w:divBdr>
    </w:div>
    <w:div w:id="1034698088">
      <w:bodyDiv w:val="1"/>
      <w:marLeft w:val="0"/>
      <w:marRight w:val="0"/>
      <w:marTop w:val="0"/>
      <w:marBottom w:val="0"/>
      <w:divBdr>
        <w:top w:val="none" w:sz="0" w:space="0" w:color="auto"/>
        <w:left w:val="none" w:sz="0" w:space="0" w:color="auto"/>
        <w:bottom w:val="none" w:sz="0" w:space="0" w:color="auto"/>
        <w:right w:val="none" w:sz="0" w:space="0" w:color="auto"/>
      </w:divBdr>
    </w:div>
    <w:div w:id="1045175394">
      <w:bodyDiv w:val="1"/>
      <w:marLeft w:val="0"/>
      <w:marRight w:val="0"/>
      <w:marTop w:val="0"/>
      <w:marBottom w:val="0"/>
      <w:divBdr>
        <w:top w:val="none" w:sz="0" w:space="0" w:color="auto"/>
        <w:left w:val="none" w:sz="0" w:space="0" w:color="auto"/>
        <w:bottom w:val="none" w:sz="0" w:space="0" w:color="auto"/>
        <w:right w:val="none" w:sz="0" w:space="0" w:color="auto"/>
      </w:divBdr>
    </w:div>
    <w:div w:id="1054154805">
      <w:bodyDiv w:val="1"/>
      <w:marLeft w:val="0"/>
      <w:marRight w:val="0"/>
      <w:marTop w:val="0"/>
      <w:marBottom w:val="0"/>
      <w:divBdr>
        <w:top w:val="none" w:sz="0" w:space="0" w:color="auto"/>
        <w:left w:val="none" w:sz="0" w:space="0" w:color="auto"/>
        <w:bottom w:val="none" w:sz="0" w:space="0" w:color="auto"/>
        <w:right w:val="none" w:sz="0" w:space="0" w:color="auto"/>
      </w:divBdr>
    </w:div>
    <w:div w:id="1056245142">
      <w:bodyDiv w:val="1"/>
      <w:marLeft w:val="0"/>
      <w:marRight w:val="0"/>
      <w:marTop w:val="0"/>
      <w:marBottom w:val="0"/>
      <w:divBdr>
        <w:top w:val="none" w:sz="0" w:space="0" w:color="auto"/>
        <w:left w:val="none" w:sz="0" w:space="0" w:color="auto"/>
        <w:bottom w:val="none" w:sz="0" w:space="0" w:color="auto"/>
        <w:right w:val="none" w:sz="0" w:space="0" w:color="auto"/>
      </w:divBdr>
    </w:div>
    <w:div w:id="1061831596">
      <w:bodyDiv w:val="1"/>
      <w:marLeft w:val="0"/>
      <w:marRight w:val="0"/>
      <w:marTop w:val="0"/>
      <w:marBottom w:val="0"/>
      <w:divBdr>
        <w:top w:val="none" w:sz="0" w:space="0" w:color="auto"/>
        <w:left w:val="none" w:sz="0" w:space="0" w:color="auto"/>
        <w:bottom w:val="none" w:sz="0" w:space="0" w:color="auto"/>
        <w:right w:val="none" w:sz="0" w:space="0" w:color="auto"/>
      </w:divBdr>
    </w:div>
    <w:div w:id="1077362536">
      <w:bodyDiv w:val="1"/>
      <w:marLeft w:val="0"/>
      <w:marRight w:val="0"/>
      <w:marTop w:val="0"/>
      <w:marBottom w:val="0"/>
      <w:divBdr>
        <w:top w:val="none" w:sz="0" w:space="0" w:color="auto"/>
        <w:left w:val="none" w:sz="0" w:space="0" w:color="auto"/>
        <w:bottom w:val="none" w:sz="0" w:space="0" w:color="auto"/>
        <w:right w:val="none" w:sz="0" w:space="0" w:color="auto"/>
      </w:divBdr>
    </w:div>
    <w:div w:id="1083064560">
      <w:bodyDiv w:val="1"/>
      <w:marLeft w:val="0"/>
      <w:marRight w:val="0"/>
      <w:marTop w:val="0"/>
      <w:marBottom w:val="0"/>
      <w:divBdr>
        <w:top w:val="none" w:sz="0" w:space="0" w:color="auto"/>
        <w:left w:val="none" w:sz="0" w:space="0" w:color="auto"/>
        <w:bottom w:val="none" w:sz="0" w:space="0" w:color="auto"/>
        <w:right w:val="none" w:sz="0" w:space="0" w:color="auto"/>
      </w:divBdr>
    </w:div>
    <w:div w:id="1099368711">
      <w:bodyDiv w:val="1"/>
      <w:marLeft w:val="0"/>
      <w:marRight w:val="0"/>
      <w:marTop w:val="0"/>
      <w:marBottom w:val="0"/>
      <w:divBdr>
        <w:top w:val="none" w:sz="0" w:space="0" w:color="auto"/>
        <w:left w:val="none" w:sz="0" w:space="0" w:color="auto"/>
        <w:bottom w:val="none" w:sz="0" w:space="0" w:color="auto"/>
        <w:right w:val="none" w:sz="0" w:space="0" w:color="auto"/>
      </w:divBdr>
    </w:div>
    <w:div w:id="1111365819">
      <w:bodyDiv w:val="1"/>
      <w:marLeft w:val="0"/>
      <w:marRight w:val="0"/>
      <w:marTop w:val="0"/>
      <w:marBottom w:val="0"/>
      <w:divBdr>
        <w:top w:val="none" w:sz="0" w:space="0" w:color="auto"/>
        <w:left w:val="none" w:sz="0" w:space="0" w:color="auto"/>
        <w:bottom w:val="none" w:sz="0" w:space="0" w:color="auto"/>
        <w:right w:val="none" w:sz="0" w:space="0" w:color="auto"/>
      </w:divBdr>
    </w:div>
    <w:div w:id="1113289044">
      <w:bodyDiv w:val="1"/>
      <w:marLeft w:val="0"/>
      <w:marRight w:val="0"/>
      <w:marTop w:val="0"/>
      <w:marBottom w:val="0"/>
      <w:divBdr>
        <w:top w:val="none" w:sz="0" w:space="0" w:color="auto"/>
        <w:left w:val="none" w:sz="0" w:space="0" w:color="auto"/>
        <w:bottom w:val="none" w:sz="0" w:space="0" w:color="auto"/>
        <w:right w:val="none" w:sz="0" w:space="0" w:color="auto"/>
      </w:divBdr>
    </w:div>
    <w:div w:id="1119648005">
      <w:bodyDiv w:val="1"/>
      <w:marLeft w:val="0"/>
      <w:marRight w:val="0"/>
      <w:marTop w:val="0"/>
      <w:marBottom w:val="0"/>
      <w:divBdr>
        <w:top w:val="none" w:sz="0" w:space="0" w:color="auto"/>
        <w:left w:val="none" w:sz="0" w:space="0" w:color="auto"/>
        <w:bottom w:val="none" w:sz="0" w:space="0" w:color="auto"/>
        <w:right w:val="none" w:sz="0" w:space="0" w:color="auto"/>
      </w:divBdr>
    </w:div>
    <w:div w:id="1124469570">
      <w:bodyDiv w:val="1"/>
      <w:marLeft w:val="0"/>
      <w:marRight w:val="0"/>
      <w:marTop w:val="0"/>
      <w:marBottom w:val="0"/>
      <w:divBdr>
        <w:top w:val="none" w:sz="0" w:space="0" w:color="auto"/>
        <w:left w:val="none" w:sz="0" w:space="0" w:color="auto"/>
        <w:bottom w:val="none" w:sz="0" w:space="0" w:color="auto"/>
        <w:right w:val="none" w:sz="0" w:space="0" w:color="auto"/>
      </w:divBdr>
    </w:div>
    <w:div w:id="1133061949">
      <w:bodyDiv w:val="1"/>
      <w:marLeft w:val="0"/>
      <w:marRight w:val="0"/>
      <w:marTop w:val="0"/>
      <w:marBottom w:val="0"/>
      <w:divBdr>
        <w:top w:val="none" w:sz="0" w:space="0" w:color="auto"/>
        <w:left w:val="none" w:sz="0" w:space="0" w:color="auto"/>
        <w:bottom w:val="none" w:sz="0" w:space="0" w:color="auto"/>
        <w:right w:val="none" w:sz="0" w:space="0" w:color="auto"/>
      </w:divBdr>
    </w:div>
    <w:div w:id="1133980831">
      <w:bodyDiv w:val="1"/>
      <w:marLeft w:val="0"/>
      <w:marRight w:val="0"/>
      <w:marTop w:val="0"/>
      <w:marBottom w:val="0"/>
      <w:divBdr>
        <w:top w:val="none" w:sz="0" w:space="0" w:color="auto"/>
        <w:left w:val="none" w:sz="0" w:space="0" w:color="auto"/>
        <w:bottom w:val="none" w:sz="0" w:space="0" w:color="auto"/>
        <w:right w:val="none" w:sz="0" w:space="0" w:color="auto"/>
      </w:divBdr>
    </w:div>
    <w:div w:id="1144856615">
      <w:bodyDiv w:val="1"/>
      <w:marLeft w:val="0"/>
      <w:marRight w:val="0"/>
      <w:marTop w:val="0"/>
      <w:marBottom w:val="0"/>
      <w:divBdr>
        <w:top w:val="none" w:sz="0" w:space="0" w:color="auto"/>
        <w:left w:val="none" w:sz="0" w:space="0" w:color="auto"/>
        <w:bottom w:val="none" w:sz="0" w:space="0" w:color="auto"/>
        <w:right w:val="none" w:sz="0" w:space="0" w:color="auto"/>
      </w:divBdr>
    </w:div>
    <w:div w:id="1145658081">
      <w:bodyDiv w:val="1"/>
      <w:marLeft w:val="0"/>
      <w:marRight w:val="0"/>
      <w:marTop w:val="0"/>
      <w:marBottom w:val="0"/>
      <w:divBdr>
        <w:top w:val="none" w:sz="0" w:space="0" w:color="auto"/>
        <w:left w:val="none" w:sz="0" w:space="0" w:color="auto"/>
        <w:bottom w:val="none" w:sz="0" w:space="0" w:color="auto"/>
        <w:right w:val="none" w:sz="0" w:space="0" w:color="auto"/>
      </w:divBdr>
    </w:div>
    <w:div w:id="1157653735">
      <w:bodyDiv w:val="1"/>
      <w:marLeft w:val="0"/>
      <w:marRight w:val="0"/>
      <w:marTop w:val="0"/>
      <w:marBottom w:val="0"/>
      <w:divBdr>
        <w:top w:val="none" w:sz="0" w:space="0" w:color="auto"/>
        <w:left w:val="none" w:sz="0" w:space="0" w:color="auto"/>
        <w:bottom w:val="none" w:sz="0" w:space="0" w:color="auto"/>
        <w:right w:val="none" w:sz="0" w:space="0" w:color="auto"/>
      </w:divBdr>
    </w:div>
    <w:div w:id="1158232022">
      <w:bodyDiv w:val="1"/>
      <w:marLeft w:val="0"/>
      <w:marRight w:val="0"/>
      <w:marTop w:val="0"/>
      <w:marBottom w:val="0"/>
      <w:divBdr>
        <w:top w:val="none" w:sz="0" w:space="0" w:color="auto"/>
        <w:left w:val="none" w:sz="0" w:space="0" w:color="auto"/>
        <w:bottom w:val="none" w:sz="0" w:space="0" w:color="auto"/>
        <w:right w:val="none" w:sz="0" w:space="0" w:color="auto"/>
      </w:divBdr>
    </w:div>
    <w:div w:id="1162350566">
      <w:bodyDiv w:val="1"/>
      <w:marLeft w:val="0"/>
      <w:marRight w:val="0"/>
      <w:marTop w:val="0"/>
      <w:marBottom w:val="0"/>
      <w:divBdr>
        <w:top w:val="none" w:sz="0" w:space="0" w:color="auto"/>
        <w:left w:val="none" w:sz="0" w:space="0" w:color="auto"/>
        <w:bottom w:val="none" w:sz="0" w:space="0" w:color="auto"/>
        <w:right w:val="none" w:sz="0" w:space="0" w:color="auto"/>
      </w:divBdr>
    </w:div>
    <w:div w:id="1185633836">
      <w:bodyDiv w:val="1"/>
      <w:marLeft w:val="0"/>
      <w:marRight w:val="0"/>
      <w:marTop w:val="0"/>
      <w:marBottom w:val="0"/>
      <w:divBdr>
        <w:top w:val="none" w:sz="0" w:space="0" w:color="auto"/>
        <w:left w:val="none" w:sz="0" w:space="0" w:color="auto"/>
        <w:bottom w:val="none" w:sz="0" w:space="0" w:color="auto"/>
        <w:right w:val="none" w:sz="0" w:space="0" w:color="auto"/>
      </w:divBdr>
    </w:div>
    <w:div w:id="1193615301">
      <w:bodyDiv w:val="1"/>
      <w:marLeft w:val="0"/>
      <w:marRight w:val="0"/>
      <w:marTop w:val="0"/>
      <w:marBottom w:val="0"/>
      <w:divBdr>
        <w:top w:val="none" w:sz="0" w:space="0" w:color="auto"/>
        <w:left w:val="none" w:sz="0" w:space="0" w:color="auto"/>
        <w:bottom w:val="none" w:sz="0" w:space="0" w:color="auto"/>
        <w:right w:val="none" w:sz="0" w:space="0" w:color="auto"/>
      </w:divBdr>
    </w:div>
    <w:div w:id="1203980197">
      <w:bodyDiv w:val="1"/>
      <w:marLeft w:val="0"/>
      <w:marRight w:val="0"/>
      <w:marTop w:val="0"/>
      <w:marBottom w:val="0"/>
      <w:divBdr>
        <w:top w:val="none" w:sz="0" w:space="0" w:color="auto"/>
        <w:left w:val="none" w:sz="0" w:space="0" w:color="auto"/>
        <w:bottom w:val="none" w:sz="0" w:space="0" w:color="auto"/>
        <w:right w:val="none" w:sz="0" w:space="0" w:color="auto"/>
      </w:divBdr>
    </w:div>
    <w:div w:id="1207134287">
      <w:bodyDiv w:val="1"/>
      <w:marLeft w:val="0"/>
      <w:marRight w:val="0"/>
      <w:marTop w:val="0"/>
      <w:marBottom w:val="0"/>
      <w:divBdr>
        <w:top w:val="none" w:sz="0" w:space="0" w:color="auto"/>
        <w:left w:val="none" w:sz="0" w:space="0" w:color="auto"/>
        <w:bottom w:val="none" w:sz="0" w:space="0" w:color="auto"/>
        <w:right w:val="none" w:sz="0" w:space="0" w:color="auto"/>
      </w:divBdr>
    </w:div>
    <w:div w:id="1209610436">
      <w:bodyDiv w:val="1"/>
      <w:marLeft w:val="0"/>
      <w:marRight w:val="0"/>
      <w:marTop w:val="0"/>
      <w:marBottom w:val="0"/>
      <w:divBdr>
        <w:top w:val="none" w:sz="0" w:space="0" w:color="auto"/>
        <w:left w:val="none" w:sz="0" w:space="0" w:color="auto"/>
        <w:bottom w:val="none" w:sz="0" w:space="0" w:color="auto"/>
        <w:right w:val="none" w:sz="0" w:space="0" w:color="auto"/>
      </w:divBdr>
    </w:div>
    <w:div w:id="1218588035">
      <w:bodyDiv w:val="1"/>
      <w:marLeft w:val="0"/>
      <w:marRight w:val="0"/>
      <w:marTop w:val="0"/>
      <w:marBottom w:val="0"/>
      <w:divBdr>
        <w:top w:val="none" w:sz="0" w:space="0" w:color="auto"/>
        <w:left w:val="none" w:sz="0" w:space="0" w:color="auto"/>
        <w:bottom w:val="none" w:sz="0" w:space="0" w:color="auto"/>
        <w:right w:val="none" w:sz="0" w:space="0" w:color="auto"/>
      </w:divBdr>
    </w:div>
    <w:div w:id="1221091016">
      <w:bodyDiv w:val="1"/>
      <w:marLeft w:val="0"/>
      <w:marRight w:val="0"/>
      <w:marTop w:val="0"/>
      <w:marBottom w:val="0"/>
      <w:divBdr>
        <w:top w:val="none" w:sz="0" w:space="0" w:color="auto"/>
        <w:left w:val="none" w:sz="0" w:space="0" w:color="auto"/>
        <w:bottom w:val="none" w:sz="0" w:space="0" w:color="auto"/>
        <w:right w:val="none" w:sz="0" w:space="0" w:color="auto"/>
      </w:divBdr>
    </w:div>
    <w:div w:id="1221358371">
      <w:bodyDiv w:val="1"/>
      <w:marLeft w:val="0"/>
      <w:marRight w:val="0"/>
      <w:marTop w:val="0"/>
      <w:marBottom w:val="0"/>
      <w:divBdr>
        <w:top w:val="none" w:sz="0" w:space="0" w:color="auto"/>
        <w:left w:val="none" w:sz="0" w:space="0" w:color="auto"/>
        <w:bottom w:val="none" w:sz="0" w:space="0" w:color="auto"/>
        <w:right w:val="none" w:sz="0" w:space="0" w:color="auto"/>
      </w:divBdr>
    </w:div>
    <w:div w:id="1222443522">
      <w:bodyDiv w:val="1"/>
      <w:marLeft w:val="0"/>
      <w:marRight w:val="0"/>
      <w:marTop w:val="0"/>
      <w:marBottom w:val="0"/>
      <w:divBdr>
        <w:top w:val="none" w:sz="0" w:space="0" w:color="auto"/>
        <w:left w:val="none" w:sz="0" w:space="0" w:color="auto"/>
        <w:bottom w:val="none" w:sz="0" w:space="0" w:color="auto"/>
        <w:right w:val="none" w:sz="0" w:space="0" w:color="auto"/>
      </w:divBdr>
    </w:div>
    <w:div w:id="1225873400">
      <w:bodyDiv w:val="1"/>
      <w:marLeft w:val="0"/>
      <w:marRight w:val="0"/>
      <w:marTop w:val="0"/>
      <w:marBottom w:val="0"/>
      <w:divBdr>
        <w:top w:val="none" w:sz="0" w:space="0" w:color="auto"/>
        <w:left w:val="none" w:sz="0" w:space="0" w:color="auto"/>
        <w:bottom w:val="none" w:sz="0" w:space="0" w:color="auto"/>
        <w:right w:val="none" w:sz="0" w:space="0" w:color="auto"/>
      </w:divBdr>
    </w:div>
    <w:div w:id="1227304260">
      <w:bodyDiv w:val="1"/>
      <w:marLeft w:val="0"/>
      <w:marRight w:val="0"/>
      <w:marTop w:val="0"/>
      <w:marBottom w:val="0"/>
      <w:divBdr>
        <w:top w:val="none" w:sz="0" w:space="0" w:color="auto"/>
        <w:left w:val="none" w:sz="0" w:space="0" w:color="auto"/>
        <w:bottom w:val="none" w:sz="0" w:space="0" w:color="auto"/>
        <w:right w:val="none" w:sz="0" w:space="0" w:color="auto"/>
      </w:divBdr>
    </w:div>
    <w:div w:id="1247304633">
      <w:bodyDiv w:val="1"/>
      <w:marLeft w:val="0"/>
      <w:marRight w:val="0"/>
      <w:marTop w:val="0"/>
      <w:marBottom w:val="0"/>
      <w:divBdr>
        <w:top w:val="none" w:sz="0" w:space="0" w:color="auto"/>
        <w:left w:val="none" w:sz="0" w:space="0" w:color="auto"/>
        <w:bottom w:val="none" w:sz="0" w:space="0" w:color="auto"/>
        <w:right w:val="none" w:sz="0" w:space="0" w:color="auto"/>
      </w:divBdr>
    </w:div>
    <w:div w:id="1248730119">
      <w:bodyDiv w:val="1"/>
      <w:marLeft w:val="0"/>
      <w:marRight w:val="0"/>
      <w:marTop w:val="0"/>
      <w:marBottom w:val="0"/>
      <w:divBdr>
        <w:top w:val="none" w:sz="0" w:space="0" w:color="auto"/>
        <w:left w:val="none" w:sz="0" w:space="0" w:color="auto"/>
        <w:bottom w:val="none" w:sz="0" w:space="0" w:color="auto"/>
        <w:right w:val="none" w:sz="0" w:space="0" w:color="auto"/>
      </w:divBdr>
    </w:div>
    <w:div w:id="1260408333">
      <w:bodyDiv w:val="1"/>
      <w:marLeft w:val="0"/>
      <w:marRight w:val="0"/>
      <w:marTop w:val="0"/>
      <w:marBottom w:val="0"/>
      <w:divBdr>
        <w:top w:val="none" w:sz="0" w:space="0" w:color="auto"/>
        <w:left w:val="none" w:sz="0" w:space="0" w:color="auto"/>
        <w:bottom w:val="none" w:sz="0" w:space="0" w:color="auto"/>
        <w:right w:val="none" w:sz="0" w:space="0" w:color="auto"/>
      </w:divBdr>
    </w:div>
    <w:div w:id="1276474736">
      <w:bodyDiv w:val="1"/>
      <w:marLeft w:val="0"/>
      <w:marRight w:val="0"/>
      <w:marTop w:val="0"/>
      <w:marBottom w:val="0"/>
      <w:divBdr>
        <w:top w:val="none" w:sz="0" w:space="0" w:color="auto"/>
        <w:left w:val="none" w:sz="0" w:space="0" w:color="auto"/>
        <w:bottom w:val="none" w:sz="0" w:space="0" w:color="auto"/>
        <w:right w:val="none" w:sz="0" w:space="0" w:color="auto"/>
      </w:divBdr>
    </w:div>
    <w:div w:id="1278368414">
      <w:bodyDiv w:val="1"/>
      <w:marLeft w:val="0"/>
      <w:marRight w:val="0"/>
      <w:marTop w:val="0"/>
      <w:marBottom w:val="0"/>
      <w:divBdr>
        <w:top w:val="none" w:sz="0" w:space="0" w:color="auto"/>
        <w:left w:val="none" w:sz="0" w:space="0" w:color="auto"/>
        <w:bottom w:val="none" w:sz="0" w:space="0" w:color="auto"/>
        <w:right w:val="none" w:sz="0" w:space="0" w:color="auto"/>
      </w:divBdr>
    </w:div>
    <w:div w:id="1287273813">
      <w:bodyDiv w:val="1"/>
      <w:marLeft w:val="0"/>
      <w:marRight w:val="0"/>
      <w:marTop w:val="0"/>
      <w:marBottom w:val="0"/>
      <w:divBdr>
        <w:top w:val="none" w:sz="0" w:space="0" w:color="auto"/>
        <w:left w:val="none" w:sz="0" w:space="0" w:color="auto"/>
        <w:bottom w:val="none" w:sz="0" w:space="0" w:color="auto"/>
        <w:right w:val="none" w:sz="0" w:space="0" w:color="auto"/>
      </w:divBdr>
    </w:div>
    <w:div w:id="1289124733">
      <w:bodyDiv w:val="1"/>
      <w:marLeft w:val="0"/>
      <w:marRight w:val="0"/>
      <w:marTop w:val="0"/>
      <w:marBottom w:val="0"/>
      <w:divBdr>
        <w:top w:val="none" w:sz="0" w:space="0" w:color="auto"/>
        <w:left w:val="none" w:sz="0" w:space="0" w:color="auto"/>
        <w:bottom w:val="none" w:sz="0" w:space="0" w:color="auto"/>
        <w:right w:val="none" w:sz="0" w:space="0" w:color="auto"/>
      </w:divBdr>
    </w:div>
    <w:div w:id="1289625775">
      <w:bodyDiv w:val="1"/>
      <w:marLeft w:val="0"/>
      <w:marRight w:val="0"/>
      <w:marTop w:val="0"/>
      <w:marBottom w:val="0"/>
      <w:divBdr>
        <w:top w:val="none" w:sz="0" w:space="0" w:color="auto"/>
        <w:left w:val="none" w:sz="0" w:space="0" w:color="auto"/>
        <w:bottom w:val="none" w:sz="0" w:space="0" w:color="auto"/>
        <w:right w:val="none" w:sz="0" w:space="0" w:color="auto"/>
      </w:divBdr>
    </w:div>
    <w:div w:id="1307592696">
      <w:bodyDiv w:val="1"/>
      <w:marLeft w:val="0"/>
      <w:marRight w:val="0"/>
      <w:marTop w:val="0"/>
      <w:marBottom w:val="0"/>
      <w:divBdr>
        <w:top w:val="none" w:sz="0" w:space="0" w:color="auto"/>
        <w:left w:val="none" w:sz="0" w:space="0" w:color="auto"/>
        <w:bottom w:val="none" w:sz="0" w:space="0" w:color="auto"/>
        <w:right w:val="none" w:sz="0" w:space="0" w:color="auto"/>
      </w:divBdr>
    </w:div>
    <w:div w:id="1313484862">
      <w:bodyDiv w:val="1"/>
      <w:marLeft w:val="0"/>
      <w:marRight w:val="0"/>
      <w:marTop w:val="0"/>
      <w:marBottom w:val="0"/>
      <w:divBdr>
        <w:top w:val="none" w:sz="0" w:space="0" w:color="auto"/>
        <w:left w:val="none" w:sz="0" w:space="0" w:color="auto"/>
        <w:bottom w:val="none" w:sz="0" w:space="0" w:color="auto"/>
        <w:right w:val="none" w:sz="0" w:space="0" w:color="auto"/>
      </w:divBdr>
    </w:div>
    <w:div w:id="1316181322">
      <w:bodyDiv w:val="1"/>
      <w:marLeft w:val="0"/>
      <w:marRight w:val="0"/>
      <w:marTop w:val="0"/>
      <w:marBottom w:val="0"/>
      <w:divBdr>
        <w:top w:val="none" w:sz="0" w:space="0" w:color="auto"/>
        <w:left w:val="none" w:sz="0" w:space="0" w:color="auto"/>
        <w:bottom w:val="none" w:sz="0" w:space="0" w:color="auto"/>
        <w:right w:val="none" w:sz="0" w:space="0" w:color="auto"/>
      </w:divBdr>
    </w:div>
    <w:div w:id="1316566604">
      <w:bodyDiv w:val="1"/>
      <w:marLeft w:val="0"/>
      <w:marRight w:val="0"/>
      <w:marTop w:val="0"/>
      <w:marBottom w:val="0"/>
      <w:divBdr>
        <w:top w:val="none" w:sz="0" w:space="0" w:color="auto"/>
        <w:left w:val="none" w:sz="0" w:space="0" w:color="auto"/>
        <w:bottom w:val="none" w:sz="0" w:space="0" w:color="auto"/>
        <w:right w:val="none" w:sz="0" w:space="0" w:color="auto"/>
      </w:divBdr>
    </w:div>
    <w:div w:id="1326205560">
      <w:bodyDiv w:val="1"/>
      <w:marLeft w:val="0"/>
      <w:marRight w:val="0"/>
      <w:marTop w:val="0"/>
      <w:marBottom w:val="0"/>
      <w:divBdr>
        <w:top w:val="none" w:sz="0" w:space="0" w:color="auto"/>
        <w:left w:val="none" w:sz="0" w:space="0" w:color="auto"/>
        <w:bottom w:val="none" w:sz="0" w:space="0" w:color="auto"/>
        <w:right w:val="none" w:sz="0" w:space="0" w:color="auto"/>
      </w:divBdr>
    </w:div>
    <w:div w:id="1331828312">
      <w:bodyDiv w:val="1"/>
      <w:marLeft w:val="0"/>
      <w:marRight w:val="0"/>
      <w:marTop w:val="0"/>
      <w:marBottom w:val="0"/>
      <w:divBdr>
        <w:top w:val="none" w:sz="0" w:space="0" w:color="auto"/>
        <w:left w:val="none" w:sz="0" w:space="0" w:color="auto"/>
        <w:bottom w:val="none" w:sz="0" w:space="0" w:color="auto"/>
        <w:right w:val="none" w:sz="0" w:space="0" w:color="auto"/>
      </w:divBdr>
    </w:div>
    <w:div w:id="1336029646">
      <w:bodyDiv w:val="1"/>
      <w:marLeft w:val="0"/>
      <w:marRight w:val="0"/>
      <w:marTop w:val="0"/>
      <w:marBottom w:val="0"/>
      <w:divBdr>
        <w:top w:val="none" w:sz="0" w:space="0" w:color="auto"/>
        <w:left w:val="none" w:sz="0" w:space="0" w:color="auto"/>
        <w:bottom w:val="none" w:sz="0" w:space="0" w:color="auto"/>
        <w:right w:val="none" w:sz="0" w:space="0" w:color="auto"/>
      </w:divBdr>
    </w:div>
    <w:div w:id="1336226748">
      <w:bodyDiv w:val="1"/>
      <w:marLeft w:val="0"/>
      <w:marRight w:val="0"/>
      <w:marTop w:val="0"/>
      <w:marBottom w:val="0"/>
      <w:divBdr>
        <w:top w:val="none" w:sz="0" w:space="0" w:color="auto"/>
        <w:left w:val="none" w:sz="0" w:space="0" w:color="auto"/>
        <w:bottom w:val="none" w:sz="0" w:space="0" w:color="auto"/>
        <w:right w:val="none" w:sz="0" w:space="0" w:color="auto"/>
      </w:divBdr>
    </w:div>
    <w:div w:id="1339383565">
      <w:bodyDiv w:val="1"/>
      <w:marLeft w:val="0"/>
      <w:marRight w:val="0"/>
      <w:marTop w:val="0"/>
      <w:marBottom w:val="0"/>
      <w:divBdr>
        <w:top w:val="none" w:sz="0" w:space="0" w:color="auto"/>
        <w:left w:val="none" w:sz="0" w:space="0" w:color="auto"/>
        <w:bottom w:val="none" w:sz="0" w:space="0" w:color="auto"/>
        <w:right w:val="none" w:sz="0" w:space="0" w:color="auto"/>
      </w:divBdr>
    </w:div>
    <w:div w:id="1343431872">
      <w:bodyDiv w:val="1"/>
      <w:marLeft w:val="0"/>
      <w:marRight w:val="0"/>
      <w:marTop w:val="0"/>
      <w:marBottom w:val="0"/>
      <w:divBdr>
        <w:top w:val="none" w:sz="0" w:space="0" w:color="auto"/>
        <w:left w:val="none" w:sz="0" w:space="0" w:color="auto"/>
        <w:bottom w:val="none" w:sz="0" w:space="0" w:color="auto"/>
        <w:right w:val="none" w:sz="0" w:space="0" w:color="auto"/>
      </w:divBdr>
    </w:div>
    <w:div w:id="1345589447">
      <w:bodyDiv w:val="1"/>
      <w:marLeft w:val="0"/>
      <w:marRight w:val="0"/>
      <w:marTop w:val="0"/>
      <w:marBottom w:val="0"/>
      <w:divBdr>
        <w:top w:val="none" w:sz="0" w:space="0" w:color="auto"/>
        <w:left w:val="none" w:sz="0" w:space="0" w:color="auto"/>
        <w:bottom w:val="none" w:sz="0" w:space="0" w:color="auto"/>
        <w:right w:val="none" w:sz="0" w:space="0" w:color="auto"/>
      </w:divBdr>
    </w:div>
    <w:div w:id="1374036051">
      <w:bodyDiv w:val="1"/>
      <w:marLeft w:val="0"/>
      <w:marRight w:val="0"/>
      <w:marTop w:val="0"/>
      <w:marBottom w:val="0"/>
      <w:divBdr>
        <w:top w:val="none" w:sz="0" w:space="0" w:color="auto"/>
        <w:left w:val="none" w:sz="0" w:space="0" w:color="auto"/>
        <w:bottom w:val="none" w:sz="0" w:space="0" w:color="auto"/>
        <w:right w:val="none" w:sz="0" w:space="0" w:color="auto"/>
      </w:divBdr>
    </w:div>
    <w:div w:id="1377585038">
      <w:bodyDiv w:val="1"/>
      <w:marLeft w:val="0"/>
      <w:marRight w:val="0"/>
      <w:marTop w:val="0"/>
      <w:marBottom w:val="0"/>
      <w:divBdr>
        <w:top w:val="none" w:sz="0" w:space="0" w:color="auto"/>
        <w:left w:val="none" w:sz="0" w:space="0" w:color="auto"/>
        <w:bottom w:val="none" w:sz="0" w:space="0" w:color="auto"/>
        <w:right w:val="none" w:sz="0" w:space="0" w:color="auto"/>
      </w:divBdr>
    </w:div>
    <w:div w:id="1379428777">
      <w:bodyDiv w:val="1"/>
      <w:marLeft w:val="0"/>
      <w:marRight w:val="0"/>
      <w:marTop w:val="0"/>
      <w:marBottom w:val="0"/>
      <w:divBdr>
        <w:top w:val="none" w:sz="0" w:space="0" w:color="auto"/>
        <w:left w:val="none" w:sz="0" w:space="0" w:color="auto"/>
        <w:bottom w:val="none" w:sz="0" w:space="0" w:color="auto"/>
        <w:right w:val="none" w:sz="0" w:space="0" w:color="auto"/>
      </w:divBdr>
    </w:div>
    <w:div w:id="1384522706">
      <w:bodyDiv w:val="1"/>
      <w:marLeft w:val="0"/>
      <w:marRight w:val="0"/>
      <w:marTop w:val="0"/>
      <w:marBottom w:val="0"/>
      <w:divBdr>
        <w:top w:val="none" w:sz="0" w:space="0" w:color="auto"/>
        <w:left w:val="none" w:sz="0" w:space="0" w:color="auto"/>
        <w:bottom w:val="none" w:sz="0" w:space="0" w:color="auto"/>
        <w:right w:val="none" w:sz="0" w:space="0" w:color="auto"/>
      </w:divBdr>
    </w:div>
    <w:div w:id="1395856978">
      <w:bodyDiv w:val="1"/>
      <w:marLeft w:val="0"/>
      <w:marRight w:val="0"/>
      <w:marTop w:val="0"/>
      <w:marBottom w:val="0"/>
      <w:divBdr>
        <w:top w:val="none" w:sz="0" w:space="0" w:color="auto"/>
        <w:left w:val="none" w:sz="0" w:space="0" w:color="auto"/>
        <w:bottom w:val="none" w:sz="0" w:space="0" w:color="auto"/>
        <w:right w:val="none" w:sz="0" w:space="0" w:color="auto"/>
      </w:divBdr>
    </w:div>
    <w:div w:id="1401441314">
      <w:bodyDiv w:val="1"/>
      <w:marLeft w:val="0"/>
      <w:marRight w:val="0"/>
      <w:marTop w:val="0"/>
      <w:marBottom w:val="0"/>
      <w:divBdr>
        <w:top w:val="none" w:sz="0" w:space="0" w:color="auto"/>
        <w:left w:val="none" w:sz="0" w:space="0" w:color="auto"/>
        <w:bottom w:val="none" w:sz="0" w:space="0" w:color="auto"/>
        <w:right w:val="none" w:sz="0" w:space="0" w:color="auto"/>
      </w:divBdr>
    </w:div>
    <w:div w:id="1402674426">
      <w:bodyDiv w:val="1"/>
      <w:marLeft w:val="0"/>
      <w:marRight w:val="0"/>
      <w:marTop w:val="0"/>
      <w:marBottom w:val="0"/>
      <w:divBdr>
        <w:top w:val="none" w:sz="0" w:space="0" w:color="auto"/>
        <w:left w:val="none" w:sz="0" w:space="0" w:color="auto"/>
        <w:bottom w:val="none" w:sz="0" w:space="0" w:color="auto"/>
        <w:right w:val="none" w:sz="0" w:space="0" w:color="auto"/>
      </w:divBdr>
    </w:div>
    <w:div w:id="1406337898">
      <w:bodyDiv w:val="1"/>
      <w:marLeft w:val="0"/>
      <w:marRight w:val="0"/>
      <w:marTop w:val="0"/>
      <w:marBottom w:val="0"/>
      <w:divBdr>
        <w:top w:val="none" w:sz="0" w:space="0" w:color="auto"/>
        <w:left w:val="none" w:sz="0" w:space="0" w:color="auto"/>
        <w:bottom w:val="none" w:sz="0" w:space="0" w:color="auto"/>
        <w:right w:val="none" w:sz="0" w:space="0" w:color="auto"/>
      </w:divBdr>
    </w:div>
    <w:div w:id="1407416254">
      <w:bodyDiv w:val="1"/>
      <w:marLeft w:val="0"/>
      <w:marRight w:val="0"/>
      <w:marTop w:val="0"/>
      <w:marBottom w:val="0"/>
      <w:divBdr>
        <w:top w:val="none" w:sz="0" w:space="0" w:color="auto"/>
        <w:left w:val="none" w:sz="0" w:space="0" w:color="auto"/>
        <w:bottom w:val="none" w:sz="0" w:space="0" w:color="auto"/>
        <w:right w:val="none" w:sz="0" w:space="0" w:color="auto"/>
      </w:divBdr>
    </w:div>
    <w:div w:id="1414358997">
      <w:bodyDiv w:val="1"/>
      <w:marLeft w:val="0"/>
      <w:marRight w:val="0"/>
      <w:marTop w:val="0"/>
      <w:marBottom w:val="0"/>
      <w:divBdr>
        <w:top w:val="none" w:sz="0" w:space="0" w:color="auto"/>
        <w:left w:val="none" w:sz="0" w:space="0" w:color="auto"/>
        <w:bottom w:val="none" w:sz="0" w:space="0" w:color="auto"/>
        <w:right w:val="none" w:sz="0" w:space="0" w:color="auto"/>
      </w:divBdr>
    </w:div>
    <w:div w:id="1444618920">
      <w:bodyDiv w:val="1"/>
      <w:marLeft w:val="0"/>
      <w:marRight w:val="0"/>
      <w:marTop w:val="0"/>
      <w:marBottom w:val="0"/>
      <w:divBdr>
        <w:top w:val="none" w:sz="0" w:space="0" w:color="auto"/>
        <w:left w:val="none" w:sz="0" w:space="0" w:color="auto"/>
        <w:bottom w:val="none" w:sz="0" w:space="0" w:color="auto"/>
        <w:right w:val="none" w:sz="0" w:space="0" w:color="auto"/>
      </w:divBdr>
    </w:div>
    <w:div w:id="1459178501">
      <w:bodyDiv w:val="1"/>
      <w:marLeft w:val="0"/>
      <w:marRight w:val="0"/>
      <w:marTop w:val="0"/>
      <w:marBottom w:val="0"/>
      <w:divBdr>
        <w:top w:val="none" w:sz="0" w:space="0" w:color="auto"/>
        <w:left w:val="none" w:sz="0" w:space="0" w:color="auto"/>
        <w:bottom w:val="none" w:sz="0" w:space="0" w:color="auto"/>
        <w:right w:val="none" w:sz="0" w:space="0" w:color="auto"/>
      </w:divBdr>
    </w:div>
    <w:div w:id="1461453871">
      <w:bodyDiv w:val="1"/>
      <w:marLeft w:val="0"/>
      <w:marRight w:val="0"/>
      <w:marTop w:val="0"/>
      <w:marBottom w:val="0"/>
      <w:divBdr>
        <w:top w:val="none" w:sz="0" w:space="0" w:color="auto"/>
        <w:left w:val="none" w:sz="0" w:space="0" w:color="auto"/>
        <w:bottom w:val="none" w:sz="0" w:space="0" w:color="auto"/>
        <w:right w:val="none" w:sz="0" w:space="0" w:color="auto"/>
      </w:divBdr>
    </w:div>
    <w:div w:id="1462261233">
      <w:bodyDiv w:val="1"/>
      <w:marLeft w:val="0"/>
      <w:marRight w:val="0"/>
      <w:marTop w:val="0"/>
      <w:marBottom w:val="0"/>
      <w:divBdr>
        <w:top w:val="none" w:sz="0" w:space="0" w:color="auto"/>
        <w:left w:val="none" w:sz="0" w:space="0" w:color="auto"/>
        <w:bottom w:val="none" w:sz="0" w:space="0" w:color="auto"/>
        <w:right w:val="none" w:sz="0" w:space="0" w:color="auto"/>
      </w:divBdr>
    </w:div>
    <w:div w:id="1467964999">
      <w:bodyDiv w:val="1"/>
      <w:marLeft w:val="0"/>
      <w:marRight w:val="0"/>
      <w:marTop w:val="0"/>
      <w:marBottom w:val="0"/>
      <w:divBdr>
        <w:top w:val="none" w:sz="0" w:space="0" w:color="auto"/>
        <w:left w:val="none" w:sz="0" w:space="0" w:color="auto"/>
        <w:bottom w:val="none" w:sz="0" w:space="0" w:color="auto"/>
        <w:right w:val="none" w:sz="0" w:space="0" w:color="auto"/>
      </w:divBdr>
    </w:div>
    <w:div w:id="1477455065">
      <w:bodyDiv w:val="1"/>
      <w:marLeft w:val="0"/>
      <w:marRight w:val="0"/>
      <w:marTop w:val="0"/>
      <w:marBottom w:val="0"/>
      <w:divBdr>
        <w:top w:val="none" w:sz="0" w:space="0" w:color="auto"/>
        <w:left w:val="none" w:sz="0" w:space="0" w:color="auto"/>
        <w:bottom w:val="none" w:sz="0" w:space="0" w:color="auto"/>
        <w:right w:val="none" w:sz="0" w:space="0" w:color="auto"/>
      </w:divBdr>
    </w:div>
    <w:div w:id="1482573531">
      <w:bodyDiv w:val="1"/>
      <w:marLeft w:val="0"/>
      <w:marRight w:val="0"/>
      <w:marTop w:val="0"/>
      <w:marBottom w:val="0"/>
      <w:divBdr>
        <w:top w:val="none" w:sz="0" w:space="0" w:color="auto"/>
        <w:left w:val="none" w:sz="0" w:space="0" w:color="auto"/>
        <w:bottom w:val="none" w:sz="0" w:space="0" w:color="auto"/>
        <w:right w:val="none" w:sz="0" w:space="0" w:color="auto"/>
      </w:divBdr>
    </w:div>
    <w:div w:id="1487208630">
      <w:bodyDiv w:val="1"/>
      <w:marLeft w:val="0"/>
      <w:marRight w:val="0"/>
      <w:marTop w:val="0"/>
      <w:marBottom w:val="0"/>
      <w:divBdr>
        <w:top w:val="none" w:sz="0" w:space="0" w:color="auto"/>
        <w:left w:val="none" w:sz="0" w:space="0" w:color="auto"/>
        <w:bottom w:val="none" w:sz="0" w:space="0" w:color="auto"/>
        <w:right w:val="none" w:sz="0" w:space="0" w:color="auto"/>
      </w:divBdr>
    </w:div>
    <w:div w:id="1489857182">
      <w:bodyDiv w:val="1"/>
      <w:marLeft w:val="0"/>
      <w:marRight w:val="0"/>
      <w:marTop w:val="0"/>
      <w:marBottom w:val="0"/>
      <w:divBdr>
        <w:top w:val="none" w:sz="0" w:space="0" w:color="auto"/>
        <w:left w:val="none" w:sz="0" w:space="0" w:color="auto"/>
        <w:bottom w:val="none" w:sz="0" w:space="0" w:color="auto"/>
        <w:right w:val="none" w:sz="0" w:space="0" w:color="auto"/>
      </w:divBdr>
    </w:div>
    <w:div w:id="1490243149">
      <w:bodyDiv w:val="1"/>
      <w:marLeft w:val="0"/>
      <w:marRight w:val="0"/>
      <w:marTop w:val="0"/>
      <w:marBottom w:val="0"/>
      <w:divBdr>
        <w:top w:val="none" w:sz="0" w:space="0" w:color="auto"/>
        <w:left w:val="none" w:sz="0" w:space="0" w:color="auto"/>
        <w:bottom w:val="none" w:sz="0" w:space="0" w:color="auto"/>
        <w:right w:val="none" w:sz="0" w:space="0" w:color="auto"/>
      </w:divBdr>
    </w:div>
    <w:div w:id="1497844200">
      <w:bodyDiv w:val="1"/>
      <w:marLeft w:val="0"/>
      <w:marRight w:val="0"/>
      <w:marTop w:val="0"/>
      <w:marBottom w:val="0"/>
      <w:divBdr>
        <w:top w:val="none" w:sz="0" w:space="0" w:color="auto"/>
        <w:left w:val="none" w:sz="0" w:space="0" w:color="auto"/>
        <w:bottom w:val="none" w:sz="0" w:space="0" w:color="auto"/>
        <w:right w:val="none" w:sz="0" w:space="0" w:color="auto"/>
      </w:divBdr>
    </w:div>
    <w:div w:id="1501849839">
      <w:bodyDiv w:val="1"/>
      <w:marLeft w:val="0"/>
      <w:marRight w:val="0"/>
      <w:marTop w:val="0"/>
      <w:marBottom w:val="0"/>
      <w:divBdr>
        <w:top w:val="none" w:sz="0" w:space="0" w:color="auto"/>
        <w:left w:val="none" w:sz="0" w:space="0" w:color="auto"/>
        <w:bottom w:val="none" w:sz="0" w:space="0" w:color="auto"/>
        <w:right w:val="none" w:sz="0" w:space="0" w:color="auto"/>
      </w:divBdr>
    </w:div>
    <w:div w:id="1501890927">
      <w:bodyDiv w:val="1"/>
      <w:marLeft w:val="0"/>
      <w:marRight w:val="0"/>
      <w:marTop w:val="0"/>
      <w:marBottom w:val="0"/>
      <w:divBdr>
        <w:top w:val="none" w:sz="0" w:space="0" w:color="auto"/>
        <w:left w:val="none" w:sz="0" w:space="0" w:color="auto"/>
        <w:bottom w:val="none" w:sz="0" w:space="0" w:color="auto"/>
        <w:right w:val="none" w:sz="0" w:space="0" w:color="auto"/>
      </w:divBdr>
    </w:div>
    <w:div w:id="1523010603">
      <w:bodyDiv w:val="1"/>
      <w:marLeft w:val="0"/>
      <w:marRight w:val="0"/>
      <w:marTop w:val="0"/>
      <w:marBottom w:val="0"/>
      <w:divBdr>
        <w:top w:val="none" w:sz="0" w:space="0" w:color="auto"/>
        <w:left w:val="none" w:sz="0" w:space="0" w:color="auto"/>
        <w:bottom w:val="none" w:sz="0" w:space="0" w:color="auto"/>
        <w:right w:val="none" w:sz="0" w:space="0" w:color="auto"/>
      </w:divBdr>
    </w:div>
    <w:div w:id="1528060653">
      <w:bodyDiv w:val="1"/>
      <w:marLeft w:val="0"/>
      <w:marRight w:val="0"/>
      <w:marTop w:val="0"/>
      <w:marBottom w:val="0"/>
      <w:divBdr>
        <w:top w:val="none" w:sz="0" w:space="0" w:color="auto"/>
        <w:left w:val="none" w:sz="0" w:space="0" w:color="auto"/>
        <w:bottom w:val="none" w:sz="0" w:space="0" w:color="auto"/>
        <w:right w:val="none" w:sz="0" w:space="0" w:color="auto"/>
      </w:divBdr>
    </w:div>
    <w:div w:id="1531988327">
      <w:bodyDiv w:val="1"/>
      <w:marLeft w:val="0"/>
      <w:marRight w:val="0"/>
      <w:marTop w:val="0"/>
      <w:marBottom w:val="0"/>
      <w:divBdr>
        <w:top w:val="none" w:sz="0" w:space="0" w:color="auto"/>
        <w:left w:val="none" w:sz="0" w:space="0" w:color="auto"/>
        <w:bottom w:val="none" w:sz="0" w:space="0" w:color="auto"/>
        <w:right w:val="none" w:sz="0" w:space="0" w:color="auto"/>
      </w:divBdr>
    </w:div>
    <w:div w:id="1532526017">
      <w:bodyDiv w:val="1"/>
      <w:marLeft w:val="0"/>
      <w:marRight w:val="0"/>
      <w:marTop w:val="0"/>
      <w:marBottom w:val="0"/>
      <w:divBdr>
        <w:top w:val="none" w:sz="0" w:space="0" w:color="auto"/>
        <w:left w:val="none" w:sz="0" w:space="0" w:color="auto"/>
        <w:bottom w:val="none" w:sz="0" w:space="0" w:color="auto"/>
        <w:right w:val="none" w:sz="0" w:space="0" w:color="auto"/>
      </w:divBdr>
    </w:div>
    <w:div w:id="1537350915">
      <w:bodyDiv w:val="1"/>
      <w:marLeft w:val="0"/>
      <w:marRight w:val="0"/>
      <w:marTop w:val="0"/>
      <w:marBottom w:val="0"/>
      <w:divBdr>
        <w:top w:val="none" w:sz="0" w:space="0" w:color="auto"/>
        <w:left w:val="none" w:sz="0" w:space="0" w:color="auto"/>
        <w:bottom w:val="none" w:sz="0" w:space="0" w:color="auto"/>
        <w:right w:val="none" w:sz="0" w:space="0" w:color="auto"/>
      </w:divBdr>
    </w:div>
    <w:div w:id="1539391013">
      <w:bodyDiv w:val="1"/>
      <w:marLeft w:val="0"/>
      <w:marRight w:val="0"/>
      <w:marTop w:val="0"/>
      <w:marBottom w:val="0"/>
      <w:divBdr>
        <w:top w:val="none" w:sz="0" w:space="0" w:color="auto"/>
        <w:left w:val="none" w:sz="0" w:space="0" w:color="auto"/>
        <w:bottom w:val="none" w:sz="0" w:space="0" w:color="auto"/>
        <w:right w:val="none" w:sz="0" w:space="0" w:color="auto"/>
      </w:divBdr>
    </w:div>
    <w:div w:id="1541674578">
      <w:bodyDiv w:val="1"/>
      <w:marLeft w:val="0"/>
      <w:marRight w:val="0"/>
      <w:marTop w:val="0"/>
      <w:marBottom w:val="0"/>
      <w:divBdr>
        <w:top w:val="none" w:sz="0" w:space="0" w:color="auto"/>
        <w:left w:val="none" w:sz="0" w:space="0" w:color="auto"/>
        <w:bottom w:val="none" w:sz="0" w:space="0" w:color="auto"/>
        <w:right w:val="none" w:sz="0" w:space="0" w:color="auto"/>
      </w:divBdr>
    </w:div>
    <w:div w:id="1561552970">
      <w:bodyDiv w:val="1"/>
      <w:marLeft w:val="0"/>
      <w:marRight w:val="0"/>
      <w:marTop w:val="0"/>
      <w:marBottom w:val="0"/>
      <w:divBdr>
        <w:top w:val="none" w:sz="0" w:space="0" w:color="auto"/>
        <w:left w:val="none" w:sz="0" w:space="0" w:color="auto"/>
        <w:bottom w:val="none" w:sz="0" w:space="0" w:color="auto"/>
        <w:right w:val="none" w:sz="0" w:space="0" w:color="auto"/>
      </w:divBdr>
    </w:div>
    <w:div w:id="1563131870">
      <w:bodyDiv w:val="1"/>
      <w:marLeft w:val="0"/>
      <w:marRight w:val="0"/>
      <w:marTop w:val="0"/>
      <w:marBottom w:val="0"/>
      <w:divBdr>
        <w:top w:val="none" w:sz="0" w:space="0" w:color="auto"/>
        <w:left w:val="none" w:sz="0" w:space="0" w:color="auto"/>
        <w:bottom w:val="none" w:sz="0" w:space="0" w:color="auto"/>
        <w:right w:val="none" w:sz="0" w:space="0" w:color="auto"/>
      </w:divBdr>
    </w:div>
    <w:div w:id="1567062651">
      <w:bodyDiv w:val="1"/>
      <w:marLeft w:val="0"/>
      <w:marRight w:val="0"/>
      <w:marTop w:val="0"/>
      <w:marBottom w:val="0"/>
      <w:divBdr>
        <w:top w:val="none" w:sz="0" w:space="0" w:color="auto"/>
        <w:left w:val="none" w:sz="0" w:space="0" w:color="auto"/>
        <w:bottom w:val="none" w:sz="0" w:space="0" w:color="auto"/>
        <w:right w:val="none" w:sz="0" w:space="0" w:color="auto"/>
      </w:divBdr>
    </w:div>
    <w:div w:id="1567715845">
      <w:bodyDiv w:val="1"/>
      <w:marLeft w:val="0"/>
      <w:marRight w:val="0"/>
      <w:marTop w:val="0"/>
      <w:marBottom w:val="0"/>
      <w:divBdr>
        <w:top w:val="none" w:sz="0" w:space="0" w:color="auto"/>
        <w:left w:val="none" w:sz="0" w:space="0" w:color="auto"/>
        <w:bottom w:val="none" w:sz="0" w:space="0" w:color="auto"/>
        <w:right w:val="none" w:sz="0" w:space="0" w:color="auto"/>
      </w:divBdr>
    </w:div>
    <w:div w:id="1569922481">
      <w:bodyDiv w:val="1"/>
      <w:marLeft w:val="0"/>
      <w:marRight w:val="0"/>
      <w:marTop w:val="0"/>
      <w:marBottom w:val="0"/>
      <w:divBdr>
        <w:top w:val="none" w:sz="0" w:space="0" w:color="auto"/>
        <w:left w:val="none" w:sz="0" w:space="0" w:color="auto"/>
        <w:bottom w:val="none" w:sz="0" w:space="0" w:color="auto"/>
        <w:right w:val="none" w:sz="0" w:space="0" w:color="auto"/>
      </w:divBdr>
    </w:div>
    <w:div w:id="1582986247">
      <w:bodyDiv w:val="1"/>
      <w:marLeft w:val="0"/>
      <w:marRight w:val="0"/>
      <w:marTop w:val="0"/>
      <w:marBottom w:val="0"/>
      <w:divBdr>
        <w:top w:val="none" w:sz="0" w:space="0" w:color="auto"/>
        <w:left w:val="none" w:sz="0" w:space="0" w:color="auto"/>
        <w:bottom w:val="none" w:sz="0" w:space="0" w:color="auto"/>
        <w:right w:val="none" w:sz="0" w:space="0" w:color="auto"/>
      </w:divBdr>
    </w:div>
    <w:div w:id="1583487378">
      <w:bodyDiv w:val="1"/>
      <w:marLeft w:val="0"/>
      <w:marRight w:val="0"/>
      <w:marTop w:val="0"/>
      <w:marBottom w:val="0"/>
      <w:divBdr>
        <w:top w:val="none" w:sz="0" w:space="0" w:color="auto"/>
        <w:left w:val="none" w:sz="0" w:space="0" w:color="auto"/>
        <w:bottom w:val="none" w:sz="0" w:space="0" w:color="auto"/>
        <w:right w:val="none" w:sz="0" w:space="0" w:color="auto"/>
      </w:divBdr>
    </w:div>
    <w:div w:id="1587379221">
      <w:bodyDiv w:val="1"/>
      <w:marLeft w:val="0"/>
      <w:marRight w:val="0"/>
      <w:marTop w:val="0"/>
      <w:marBottom w:val="0"/>
      <w:divBdr>
        <w:top w:val="none" w:sz="0" w:space="0" w:color="auto"/>
        <w:left w:val="none" w:sz="0" w:space="0" w:color="auto"/>
        <w:bottom w:val="none" w:sz="0" w:space="0" w:color="auto"/>
        <w:right w:val="none" w:sz="0" w:space="0" w:color="auto"/>
      </w:divBdr>
    </w:div>
    <w:div w:id="1591111714">
      <w:bodyDiv w:val="1"/>
      <w:marLeft w:val="0"/>
      <w:marRight w:val="0"/>
      <w:marTop w:val="0"/>
      <w:marBottom w:val="0"/>
      <w:divBdr>
        <w:top w:val="none" w:sz="0" w:space="0" w:color="auto"/>
        <w:left w:val="none" w:sz="0" w:space="0" w:color="auto"/>
        <w:bottom w:val="none" w:sz="0" w:space="0" w:color="auto"/>
        <w:right w:val="none" w:sz="0" w:space="0" w:color="auto"/>
      </w:divBdr>
    </w:div>
    <w:div w:id="1597320339">
      <w:bodyDiv w:val="1"/>
      <w:marLeft w:val="0"/>
      <w:marRight w:val="0"/>
      <w:marTop w:val="0"/>
      <w:marBottom w:val="0"/>
      <w:divBdr>
        <w:top w:val="none" w:sz="0" w:space="0" w:color="auto"/>
        <w:left w:val="none" w:sz="0" w:space="0" w:color="auto"/>
        <w:bottom w:val="none" w:sz="0" w:space="0" w:color="auto"/>
        <w:right w:val="none" w:sz="0" w:space="0" w:color="auto"/>
      </w:divBdr>
    </w:div>
    <w:div w:id="1619413789">
      <w:bodyDiv w:val="1"/>
      <w:marLeft w:val="0"/>
      <w:marRight w:val="0"/>
      <w:marTop w:val="0"/>
      <w:marBottom w:val="0"/>
      <w:divBdr>
        <w:top w:val="none" w:sz="0" w:space="0" w:color="auto"/>
        <w:left w:val="none" w:sz="0" w:space="0" w:color="auto"/>
        <w:bottom w:val="none" w:sz="0" w:space="0" w:color="auto"/>
        <w:right w:val="none" w:sz="0" w:space="0" w:color="auto"/>
      </w:divBdr>
    </w:div>
    <w:div w:id="1621646522">
      <w:bodyDiv w:val="1"/>
      <w:marLeft w:val="0"/>
      <w:marRight w:val="0"/>
      <w:marTop w:val="0"/>
      <w:marBottom w:val="0"/>
      <w:divBdr>
        <w:top w:val="none" w:sz="0" w:space="0" w:color="auto"/>
        <w:left w:val="none" w:sz="0" w:space="0" w:color="auto"/>
        <w:bottom w:val="none" w:sz="0" w:space="0" w:color="auto"/>
        <w:right w:val="none" w:sz="0" w:space="0" w:color="auto"/>
      </w:divBdr>
    </w:div>
    <w:div w:id="1633711875">
      <w:bodyDiv w:val="1"/>
      <w:marLeft w:val="0"/>
      <w:marRight w:val="0"/>
      <w:marTop w:val="0"/>
      <w:marBottom w:val="0"/>
      <w:divBdr>
        <w:top w:val="none" w:sz="0" w:space="0" w:color="auto"/>
        <w:left w:val="none" w:sz="0" w:space="0" w:color="auto"/>
        <w:bottom w:val="none" w:sz="0" w:space="0" w:color="auto"/>
        <w:right w:val="none" w:sz="0" w:space="0" w:color="auto"/>
      </w:divBdr>
    </w:div>
    <w:div w:id="1635132609">
      <w:bodyDiv w:val="1"/>
      <w:marLeft w:val="0"/>
      <w:marRight w:val="0"/>
      <w:marTop w:val="0"/>
      <w:marBottom w:val="0"/>
      <w:divBdr>
        <w:top w:val="none" w:sz="0" w:space="0" w:color="auto"/>
        <w:left w:val="none" w:sz="0" w:space="0" w:color="auto"/>
        <w:bottom w:val="none" w:sz="0" w:space="0" w:color="auto"/>
        <w:right w:val="none" w:sz="0" w:space="0" w:color="auto"/>
      </w:divBdr>
    </w:div>
    <w:div w:id="1636910852">
      <w:bodyDiv w:val="1"/>
      <w:marLeft w:val="0"/>
      <w:marRight w:val="0"/>
      <w:marTop w:val="0"/>
      <w:marBottom w:val="0"/>
      <w:divBdr>
        <w:top w:val="none" w:sz="0" w:space="0" w:color="auto"/>
        <w:left w:val="none" w:sz="0" w:space="0" w:color="auto"/>
        <w:bottom w:val="none" w:sz="0" w:space="0" w:color="auto"/>
        <w:right w:val="none" w:sz="0" w:space="0" w:color="auto"/>
      </w:divBdr>
    </w:div>
    <w:div w:id="1641887040">
      <w:bodyDiv w:val="1"/>
      <w:marLeft w:val="0"/>
      <w:marRight w:val="0"/>
      <w:marTop w:val="0"/>
      <w:marBottom w:val="0"/>
      <w:divBdr>
        <w:top w:val="none" w:sz="0" w:space="0" w:color="auto"/>
        <w:left w:val="none" w:sz="0" w:space="0" w:color="auto"/>
        <w:bottom w:val="none" w:sz="0" w:space="0" w:color="auto"/>
        <w:right w:val="none" w:sz="0" w:space="0" w:color="auto"/>
      </w:divBdr>
    </w:div>
    <w:div w:id="1647054191">
      <w:bodyDiv w:val="1"/>
      <w:marLeft w:val="0"/>
      <w:marRight w:val="0"/>
      <w:marTop w:val="0"/>
      <w:marBottom w:val="0"/>
      <w:divBdr>
        <w:top w:val="none" w:sz="0" w:space="0" w:color="auto"/>
        <w:left w:val="none" w:sz="0" w:space="0" w:color="auto"/>
        <w:bottom w:val="none" w:sz="0" w:space="0" w:color="auto"/>
        <w:right w:val="none" w:sz="0" w:space="0" w:color="auto"/>
      </w:divBdr>
    </w:div>
    <w:div w:id="1657952974">
      <w:bodyDiv w:val="1"/>
      <w:marLeft w:val="0"/>
      <w:marRight w:val="0"/>
      <w:marTop w:val="0"/>
      <w:marBottom w:val="0"/>
      <w:divBdr>
        <w:top w:val="none" w:sz="0" w:space="0" w:color="auto"/>
        <w:left w:val="none" w:sz="0" w:space="0" w:color="auto"/>
        <w:bottom w:val="none" w:sz="0" w:space="0" w:color="auto"/>
        <w:right w:val="none" w:sz="0" w:space="0" w:color="auto"/>
      </w:divBdr>
    </w:div>
    <w:div w:id="1662196549">
      <w:bodyDiv w:val="1"/>
      <w:marLeft w:val="0"/>
      <w:marRight w:val="0"/>
      <w:marTop w:val="0"/>
      <w:marBottom w:val="0"/>
      <w:divBdr>
        <w:top w:val="none" w:sz="0" w:space="0" w:color="auto"/>
        <w:left w:val="none" w:sz="0" w:space="0" w:color="auto"/>
        <w:bottom w:val="none" w:sz="0" w:space="0" w:color="auto"/>
        <w:right w:val="none" w:sz="0" w:space="0" w:color="auto"/>
      </w:divBdr>
    </w:div>
    <w:div w:id="1663703048">
      <w:bodyDiv w:val="1"/>
      <w:marLeft w:val="0"/>
      <w:marRight w:val="0"/>
      <w:marTop w:val="0"/>
      <w:marBottom w:val="0"/>
      <w:divBdr>
        <w:top w:val="none" w:sz="0" w:space="0" w:color="auto"/>
        <w:left w:val="none" w:sz="0" w:space="0" w:color="auto"/>
        <w:bottom w:val="none" w:sz="0" w:space="0" w:color="auto"/>
        <w:right w:val="none" w:sz="0" w:space="0" w:color="auto"/>
      </w:divBdr>
    </w:div>
    <w:div w:id="1668248136">
      <w:bodyDiv w:val="1"/>
      <w:marLeft w:val="0"/>
      <w:marRight w:val="0"/>
      <w:marTop w:val="0"/>
      <w:marBottom w:val="0"/>
      <w:divBdr>
        <w:top w:val="none" w:sz="0" w:space="0" w:color="auto"/>
        <w:left w:val="none" w:sz="0" w:space="0" w:color="auto"/>
        <w:bottom w:val="none" w:sz="0" w:space="0" w:color="auto"/>
        <w:right w:val="none" w:sz="0" w:space="0" w:color="auto"/>
      </w:divBdr>
    </w:div>
    <w:div w:id="1679380374">
      <w:bodyDiv w:val="1"/>
      <w:marLeft w:val="0"/>
      <w:marRight w:val="0"/>
      <w:marTop w:val="0"/>
      <w:marBottom w:val="0"/>
      <w:divBdr>
        <w:top w:val="none" w:sz="0" w:space="0" w:color="auto"/>
        <w:left w:val="none" w:sz="0" w:space="0" w:color="auto"/>
        <w:bottom w:val="none" w:sz="0" w:space="0" w:color="auto"/>
        <w:right w:val="none" w:sz="0" w:space="0" w:color="auto"/>
      </w:divBdr>
    </w:div>
    <w:div w:id="1684284300">
      <w:bodyDiv w:val="1"/>
      <w:marLeft w:val="0"/>
      <w:marRight w:val="0"/>
      <w:marTop w:val="0"/>
      <w:marBottom w:val="0"/>
      <w:divBdr>
        <w:top w:val="none" w:sz="0" w:space="0" w:color="auto"/>
        <w:left w:val="none" w:sz="0" w:space="0" w:color="auto"/>
        <w:bottom w:val="none" w:sz="0" w:space="0" w:color="auto"/>
        <w:right w:val="none" w:sz="0" w:space="0" w:color="auto"/>
      </w:divBdr>
    </w:div>
    <w:div w:id="1685784506">
      <w:bodyDiv w:val="1"/>
      <w:marLeft w:val="0"/>
      <w:marRight w:val="0"/>
      <w:marTop w:val="0"/>
      <w:marBottom w:val="0"/>
      <w:divBdr>
        <w:top w:val="none" w:sz="0" w:space="0" w:color="auto"/>
        <w:left w:val="none" w:sz="0" w:space="0" w:color="auto"/>
        <w:bottom w:val="none" w:sz="0" w:space="0" w:color="auto"/>
        <w:right w:val="none" w:sz="0" w:space="0" w:color="auto"/>
      </w:divBdr>
    </w:div>
    <w:div w:id="1695644345">
      <w:bodyDiv w:val="1"/>
      <w:marLeft w:val="0"/>
      <w:marRight w:val="0"/>
      <w:marTop w:val="0"/>
      <w:marBottom w:val="0"/>
      <w:divBdr>
        <w:top w:val="none" w:sz="0" w:space="0" w:color="auto"/>
        <w:left w:val="none" w:sz="0" w:space="0" w:color="auto"/>
        <w:bottom w:val="none" w:sz="0" w:space="0" w:color="auto"/>
        <w:right w:val="none" w:sz="0" w:space="0" w:color="auto"/>
      </w:divBdr>
    </w:div>
    <w:div w:id="1696154472">
      <w:bodyDiv w:val="1"/>
      <w:marLeft w:val="0"/>
      <w:marRight w:val="0"/>
      <w:marTop w:val="0"/>
      <w:marBottom w:val="0"/>
      <w:divBdr>
        <w:top w:val="none" w:sz="0" w:space="0" w:color="auto"/>
        <w:left w:val="none" w:sz="0" w:space="0" w:color="auto"/>
        <w:bottom w:val="none" w:sz="0" w:space="0" w:color="auto"/>
        <w:right w:val="none" w:sz="0" w:space="0" w:color="auto"/>
      </w:divBdr>
    </w:div>
    <w:div w:id="1705252995">
      <w:bodyDiv w:val="1"/>
      <w:marLeft w:val="0"/>
      <w:marRight w:val="0"/>
      <w:marTop w:val="0"/>
      <w:marBottom w:val="0"/>
      <w:divBdr>
        <w:top w:val="none" w:sz="0" w:space="0" w:color="auto"/>
        <w:left w:val="none" w:sz="0" w:space="0" w:color="auto"/>
        <w:bottom w:val="none" w:sz="0" w:space="0" w:color="auto"/>
        <w:right w:val="none" w:sz="0" w:space="0" w:color="auto"/>
      </w:divBdr>
    </w:div>
    <w:div w:id="1716345190">
      <w:bodyDiv w:val="1"/>
      <w:marLeft w:val="0"/>
      <w:marRight w:val="0"/>
      <w:marTop w:val="0"/>
      <w:marBottom w:val="0"/>
      <w:divBdr>
        <w:top w:val="none" w:sz="0" w:space="0" w:color="auto"/>
        <w:left w:val="none" w:sz="0" w:space="0" w:color="auto"/>
        <w:bottom w:val="none" w:sz="0" w:space="0" w:color="auto"/>
        <w:right w:val="none" w:sz="0" w:space="0" w:color="auto"/>
      </w:divBdr>
    </w:div>
    <w:div w:id="1720591525">
      <w:bodyDiv w:val="1"/>
      <w:marLeft w:val="0"/>
      <w:marRight w:val="0"/>
      <w:marTop w:val="0"/>
      <w:marBottom w:val="0"/>
      <w:divBdr>
        <w:top w:val="none" w:sz="0" w:space="0" w:color="auto"/>
        <w:left w:val="none" w:sz="0" w:space="0" w:color="auto"/>
        <w:bottom w:val="none" w:sz="0" w:space="0" w:color="auto"/>
        <w:right w:val="none" w:sz="0" w:space="0" w:color="auto"/>
      </w:divBdr>
    </w:div>
    <w:div w:id="1724597357">
      <w:bodyDiv w:val="1"/>
      <w:marLeft w:val="0"/>
      <w:marRight w:val="0"/>
      <w:marTop w:val="0"/>
      <w:marBottom w:val="0"/>
      <w:divBdr>
        <w:top w:val="none" w:sz="0" w:space="0" w:color="auto"/>
        <w:left w:val="none" w:sz="0" w:space="0" w:color="auto"/>
        <w:bottom w:val="none" w:sz="0" w:space="0" w:color="auto"/>
        <w:right w:val="none" w:sz="0" w:space="0" w:color="auto"/>
      </w:divBdr>
    </w:div>
    <w:div w:id="1727218815">
      <w:bodyDiv w:val="1"/>
      <w:marLeft w:val="0"/>
      <w:marRight w:val="0"/>
      <w:marTop w:val="0"/>
      <w:marBottom w:val="0"/>
      <w:divBdr>
        <w:top w:val="none" w:sz="0" w:space="0" w:color="auto"/>
        <w:left w:val="none" w:sz="0" w:space="0" w:color="auto"/>
        <w:bottom w:val="none" w:sz="0" w:space="0" w:color="auto"/>
        <w:right w:val="none" w:sz="0" w:space="0" w:color="auto"/>
      </w:divBdr>
    </w:div>
    <w:div w:id="1729499714">
      <w:bodyDiv w:val="1"/>
      <w:marLeft w:val="0"/>
      <w:marRight w:val="0"/>
      <w:marTop w:val="0"/>
      <w:marBottom w:val="0"/>
      <w:divBdr>
        <w:top w:val="none" w:sz="0" w:space="0" w:color="auto"/>
        <w:left w:val="none" w:sz="0" w:space="0" w:color="auto"/>
        <w:bottom w:val="none" w:sz="0" w:space="0" w:color="auto"/>
        <w:right w:val="none" w:sz="0" w:space="0" w:color="auto"/>
      </w:divBdr>
    </w:div>
    <w:div w:id="1750886300">
      <w:bodyDiv w:val="1"/>
      <w:marLeft w:val="0"/>
      <w:marRight w:val="0"/>
      <w:marTop w:val="0"/>
      <w:marBottom w:val="0"/>
      <w:divBdr>
        <w:top w:val="none" w:sz="0" w:space="0" w:color="auto"/>
        <w:left w:val="none" w:sz="0" w:space="0" w:color="auto"/>
        <w:bottom w:val="none" w:sz="0" w:space="0" w:color="auto"/>
        <w:right w:val="none" w:sz="0" w:space="0" w:color="auto"/>
      </w:divBdr>
    </w:div>
    <w:div w:id="1752580245">
      <w:bodyDiv w:val="1"/>
      <w:marLeft w:val="0"/>
      <w:marRight w:val="0"/>
      <w:marTop w:val="0"/>
      <w:marBottom w:val="0"/>
      <w:divBdr>
        <w:top w:val="none" w:sz="0" w:space="0" w:color="auto"/>
        <w:left w:val="none" w:sz="0" w:space="0" w:color="auto"/>
        <w:bottom w:val="none" w:sz="0" w:space="0" w:color="auto"/>
        <w:right w:val="none" w:sz="0" w:space="0" w:color="auto"/>
      </w:divBdr>
    </w:div>
    <w:div w:id="1758746422">
      <w:bodyDiv w:val="1"/>
      <w:marLeft w:val="0"/>
      <w:marRight w:val="0"/>
      <w:marTop w:val="0"/>
      <w:marBottom w:val="0"/>
      <w:divBdr>
        <w:top w:val="none" w:sz="0" w:space="0" w:color="auto"/>
        <w:left w:val="none" w:sz="0" w:space="0" w:color="auto"/>
        <w:bottom w:val="none" w:sz="0" w:space="0" w:color="auto"/>
        <w:right w:val="none" w:sz="0" w:space="0" w:color="auto"/>
      </w:divBdr>
    </w:div>
    <w:div w:id="1759865463">
      <w:bodyDiv w:val="1"/>
      <w:marLeft w:val="0"/>
      <w:marRight w:val="0"/>
      <w:marTop w:val="0"/>
      <w:marBottom w:val="0"/>
      <w:divBdr>
        <w:top w:val="none" w:sz="0" w:space="0" w:color="auto"/>
        <w:left w:val="none" w:sz="0" w:space="0" w:color="auto"/>
        <w:bottom w:val="none" w:sz="0" w:space="0" w:color="auto"/>
        <w:right w:val="none" w:sz="0" w:space="0" w:color="auto"/>
      </w:divBdr>
    </w:div>
    <w:div w:id="1762603007">
      <w:bodyDiv w:val="1"/>
      <w:marLeft w:val="0"/>
      <w:marRight w:val="0"/>
      <w:marTop w:val="0"/>
      <w:marBottom w:val="0"/>
      <w:divBdr>
        <w:top w:val="none" w:sz="0" w:space="0" w:color="auto"/>
        <w:left w:val="none" w:sz="0" w:space="0" w:color="auto"/>
        <w:bottom w:val="none" w:sz="0" w:space="0" w:color="auto"/>
        <w:right w:val="none" w:sz="0" w:space="0" w:color="auto"/>
      </w:divBdr>
    </w:div>
    <w:div w:id="1763842833">
      <w:bodyDiv w:val="1"/>
      <w:marLeft w:val="0"/>
      <w:marRight w:val="0"/>
      <w:marTop w:val="0"/>
      <w:marBottom w:val="0"/>
      <w:divBdr>
        <w:top w:val="none" w:sz="0" w:space="0" w:color="auto"/>
        <w:left w:val="none" w:sz="0" w:space="0" w:color="auto"/>
        <w:bottom w:val="none" w:sz="0" w:space="0" w:color="auto"/>
        <w:right w:val="none" w:sz="0" w:space="0" w:color="auto"/>
      </w:divBdr>
    </w:div>
    <w:div w:id="1764109930">
      <w:bodyDiv w:val="1"/>
      <w:marLeft w:val="0"/>
      <w:marRight w:val="0"/>
      <w:marTop w:val="0"/>
      <w:marBottom w:val="0"/>
      <w:divBdr>
        <w:top w:val="none" w:sz="0" w:space="0" w:color="auto"/>
        <w:left w:val="none" w:sz="0" w:space="0" w:color="auto"/>
        <w:bottom w:val="none" w:sz="0" w:space="0" w:color="auto"/>
        <w:right w:val="none" w:sz="0" w:space="0" w:color="auto"/>
      </w:divBdr>
    </w:div>
    <w:div w:id="1765102676">
      <w:bodyDiv w:val="1"/>
      <w:marLeft w:val="0"/>
      <w:marRight w:val="0"/>
      <w:marTop w:val="0"/>
      <w:marBottom w:val="0"/>
      <w:divBdr>
        <w:top w:val="none" w:sz="0" w:space="0" w:color="auto"/>
        <w:left w:val="none" w:sz="0" w:space="0" w:color="auto"/>
        <w:bottom w:val="none" w:sz="0" w:space="0" w:color="auto"/>
        <w:right w:val="none" w:sz="0" w:space="0" w:color="auto"/>
      </w:divBdr>
    </w:div>
    <w:div w:id="1765803812">
      <w:bodyDiv w:val="1"/>
      <w:marLeft w:val="0"/>
      <w:marRight w:val="0"/>
      <w:marTop w:val="0"/>
      <w:marBottom w:val="0"/>
      <w:divBdr>
        <w:top w:val="none" w:sz="0" w:space="0" w:color="auto"/>
        <w:left w:val="none" w:sz="0" w:space="0" w:color="auto"/>
        <w:bottom w:val="none" w:sz="0" w:space="0" w:color="auto"/>
        <w:right w:val="none" w:sz="0" w:space="0" w:color="auto"/>
      </w:divBdr>
    </w:div>
    <w:div w:id="1775664258">
      <w:bodyDiv w:val="1"/>
      <w:marLeft w:val="0"/>
      <w:marRight w:val="0"/>
      <w:marTop w:val="0"/>
      <w:marBottom w:val="0"/>
      <w:divBdr>
        <w:top w:val="none" w:sz="0" w:space="0" w:color="auto"/>
        <w:left w:val="none" w:sz="0" w:space="0" w:color="auto"/>
        <w:bottom w:val="none" w:sz="0" w:space="0" w:color="auto"/>
        <w:right w:val="none" w:sz="0" w:space="0" w:color="auto"/>
      </w:divBdr>
    </w:div>
    <w:div w:id="1776437943">
      <w:bodyDiv w:val="1"/>
      <w:marLeft w:val="0"/>
      <w:marRight w:val="0"/>
      <w:marTop w:val="0"/>
      <w:marBottom w:val="0"/>
      <w:divBdr>
        <w:top w:val="none" w:sz="0" w:space="0" w:color="auto"/>
        <w:left w:val="none" w:sz="0" w:space="0" w:color="auto"/>
        <w:bottom w:val="none" w:sz="0" w:space="0" w:color="auto"/>
        <w:right w:val="none" w:sz="0" w:space="0" w:color="auto"/>
      </w:divBdr>
    </w:div>
    <w:div w:id="1778863876">
      <w:bodyDiv w:val="1"/>
      <w:marLeft w:val="0"/>
      <w:marRight w:val="0"/>
      <w:marTop w:val="0"/>
      <w:marBottom w:val="0"/>
      <w:divBdr>
        <w:top w:val="none" w:sz="0" w:space="0" w:color="auto"/>
        <w:left w:val="none" w:sz="0" w:space="0" w:color="auto"/>
        <w:bottom w:val="none" w:sz="0" w:space="0" w:color="auto"/>
        <w:right w:val="none" w:sz="0" w:space="0" w:color="auto"/>
      </w:divBdr>
    </w:div>
    <w:div w:id="1793984598">
      <w:bodyDiv w:val="1"/>
      <w:marLeft w:val="0"/>
      <w:marRight w:val="0"/>
      <w:marTop w:val="0"/>
      <w:marBottom w:val="0"/>
      <w:divBdr>
        <w:top w:val="none" w:sz="0" w:space="0" w:color="auto"/>
        <w:left w:val="none" w:sz="0" w:space="0" w:color="auto"/>
        <w:bottom w:val="none" w:sz="0" w:space="0" w:color="auto"/>
        <w:right w:val="none" w:sz="0" w:space="0" w:color="auto"/>
      </w:divBdr>
    </w:div>
    <w:div w:id="1833712409">
      <w:bodyDiv w:val="1"/>
      <w:marLeft w:val="0"/>
      <w:marRight w:val="0"/>
      <w:marTop w:val="0"/>
      <w:marBottom w:val="0"/>
      <w:divBdr>
        <w:top w:val="none" w:sz="0" w:space="0" w:color="auto"/>
        <w:left w:val="none" w:sz="0" w:space="0" w:color="auto"/>
        <w:bottom w:val="none" w:sz="0" w:space="0" w:color="auto"/>
        <w:right w:val="none" w:sz="0" w:space="0" w:color="auto"/>
      </w:divBdr>
    </w:div>
    <w:div w:id="1838230965">
      <w:bodyDiv w:val="1"/>
      <w:marLeft w:val="0"/>
      <w:marRight w:val="0"/>
      <w:marTop w:val="0"/>
      <w:marBottom w:val="0"/>
      <w:divBdr>
        <w:top w:val="none" w:sz="0" w:space="0" w:color="auto"/>
        <w:left w:val="none" w:sz="0" w:space="0" w:color="auto"/>
        <w:bottom w:val="none" w:sz="0" w:space="0" w:color="auto"/>
        <w:right w:val="none" w:sz="0" w:space="0" w:color="auto"/>
      </w:divBdr>
    </w:div>
    <w:div w:id="1840196443">
      <w:bodyDiv w:val="1"/>
      <w:marLeft w:val="0"/>
      <w:marRight w:val="0"/>
      <w:marTop w:val="0"/>
      <w:marBottom w:val="0"/>
      <w:divBdr>
        <w:top w:val="none" w:sz="0" w:space="0" w:color="auto"/>
        <w:left w:val="none" w:sz="0" w:space="0" w:color="auto"/>
        <w:bottom w:val="none" w:sz="0" w:space="0" w:color="auto"/>
        <w:right w:val="none" w:sz="0" w:space="0" w:color="auto"/>
      </w:divBdr>
    </w:div>
    <w:div w:id="1841579447">
      <w:bodyDiv w:val="1"/>
      <w:marLeft w:val="0"/>
      <w:marRight w:val="0"/>
      <w:marTop w:val="0"/>
      <w:marBottom w:val="0"/>
      <w:divBdr>
        <w:top w:val="none" w:sz="0" w:space="0" w:color="auto"/>
        <w:left w:val="none" w:sz="0" w:space="0" w:color="auto"/>
        <w:bottom w:val="none" w:sz="0" w:space="0" w:color="auto"/>
        <w:right w:val="none" w:sz="0" w:space="0" w:color="auto"/>
      </w:divBdr>
    </w:div>
    <w:div w:id="1848401866">
      <w:bodyDiv w:val="1"/>
      <w:marLeft w:val="0"/>
      <w:marRight w:val="0"/>
      <w:marTop w:val="0"/>
      <w:marBottom w:val="0"/>
      <w:divBdr>
        <w:top w:val="none" w:sz="0" w:space="0" w:color="auto"/>
        <w:left w:val="none" w:sz="0" w:space="0" w:color="auto"/>
        <w:bottom w:val="none" w:sz="0" w:space="0" w:color="auto"/>
        <w:right w:val="none" w:sz="0" w:space="0" w:color="auto"/>
      </w:divBdr>
    </w:div>
    <w:div w:id="1851872723">
      <w:bodyDiv w:val="1"/>
      <w:marLeft w:val="0"/>
      <w:marRight w:val="0"/>
      <w:marTop w:val="0"/>
      <w:marBottom w:val="0"/>
      <w:divBdr>
        <w:top w:val="none" w:sz="0" w:space="0" w:color="auto"/>
        <w:left w:val="none" w:sz="0" w:space="0" w:color="auto"/>
        <w:bottom w:val="none" w:sz="0" w:space="0" w:color="auto"/>
        <w:right w:val="none" w:sz="0" w:space="0" w:color="auto"/>
      </w:divBdr>
    </w:div>
    <w:div w:id="1869487748">
      <w:bodyDiv w:val="1"/>
      <w:marLeft w:val="0"/>
      <w:marRight w:val="0"/>
      <w:marTop w:val="0"/>
      <w:marBottom w:val="0"/>
      <w:divBdr>
        <w:top w:val="none" w:sz="0" w:space="0" w:color="auto"/>
        <w:left w:val="none" w:sz="0" w:space="0" w:color="auto"/>
        <w:bottom w:val="none" w:sz="0" w:space="0" w:color="auto"/>
        <w:right w:val="none" w:sz="0" w:space="0" w:color="auto"/>
      </w:divBdr>
    </w:div>
    <w:div w:id="1881285994">
      <w:bodyDiv w:val="1"/>
      <w:marLeft w:val="0"/>
      <w:marRight w:val="0"/>
      <w:marTop w:val="0"/>
      <w:marBottom w:val="0"/>
      <w:divBdr>
        <w:top w:val="none" w:sz="0" w:space="0" w:color="auto"/>
        <w:left w:val="none" w:sz="0" w:space="0" w:color="auto"/>
        <w:bottom w:val="none" w:sz="0" w:space="0" w:color="auto"/>
        <w:right w:val="none" w:sz="0" w:space="0" w:color="auto"/>
      </w:divBdr>
    </w:div>
    <w:div w:id="1890259239">
      <w:bodyDiv w:val="1"/>
      <w:marLeft w:val="0"/>
      <w:marRight w:val="0"/>
      <w:marTop w:val="0"/>
      <w:marBottom w:val="0"/>
      <w:divBdr>
        <w:top w:val="none" w:sz="0" w:space="0" w:color="auto"/>
        <w:left w:val="none" w:sz="0" w:space="0" w:color="auto"/>
        <w:bottom w:val="none" w:sz="0" w:space="0" w:color="auto"/>
        <w:right w:val="none" w:sz="0" w:space="0" w:color="auto"/>
      </w:divBdr>
    </w:div>
    <w:div w:id="1901213099">
      <w:bodyDiv w:val="1"/>
      <w:marLeft w:val="0"/>
      <w:marRight w:val="0"/>
      <w:marTop w:val="0"/>
      <w:marBottom w:val="0"/>
      <w:divBdr>
        <w:top w:val="none" w:sz="0" w:space="0" w:color="auto"/>
        <w:left w:val="none" w:sz="0" w:space="0" w:color="auto"/>
        <w:bottom w:val="none" w:sz="0" w:space="0" w:color="auto"/>
        <w:right w:val="none" w:sz="0" w:space="0" w:color="auto"/>
      </w:divBdr>
    </w:div>
    <w:div w:id="1906448659">
      <w:bodyDiv w:val="1"/>
      <w:marLeft w:val="0"/>
      <w:marRight w:val="0"/>
      <w:marTop w:val="0"/>
      <w:marBottom w:val="0"/>
      <w:divBdr>
        <w:top w:val="none" w:sz="0" w:space="0" w:color="auto"/>
        <w:left w:val="none" w:sz="0" w:space="0" w:color="auto"/>
        <w:bottom w:val="none" w:sz="0" w:space="0" w:color="auto"/>
        <w:right w:val="none" w:sz="0" w:space="0" w:color="auto"/>
      </w:divBdr>
    </w:div>
    <w:div w:id="1911189519">
      <w:bodyDiv w:val="1"/>
      <w:marLeft w:val="0"/>
      <w:marRight w:val="0"/>
      <w:marTop w:val="0"/>
      <w:marBottom w:val="0"/>
      <w:divBdr>
        <w:top w:val="none" w:sz="0" w:space="0" w:color="auto"/>
        <w:left w:val="none" w:sz="0" w:space="0" w:color="auto"/>
        <w:bottom w:val="none" w:sz="0" w:space="0" w:color="auto"/>
        <w:right w:val="none" w:sz="0" w:space="0" w:color="auto"/>
      </w:divBdr>
    </w:div>
    <w:div w:id="1913613229">
      <w:bodyDiv w:val="1"/>
      <w:marLeft w:val="0"/>
      <w:marRight w:val="0"/>
      <w:marTop w:val="0"/>
      <w:marBottom w:val="0"/>
      <w:divBdr>
        <w:top w:val="none" w:sz="0" w:space="0" w:color="auto"/>
        <w:left w:val="none" w:sz="0" w:space="0" w:color="auto"/>
        <w:bottom w:val="none" w:sz="0" w:space="0" w:color="auto"/>
        <w:right w:val="none" w:sz="0" w:space="0" w:color="auto"/>
      </w:divBdr>
    </w:div>
    <w:div w:id="1920094955">
      <w:bodyDiv w:val="1"/>
      <w:marLeft w:val="0"/>
      <w:marRight w:val="0"/>
      <w:marTop w:val="0"/>
      <w:marBottom w:val="0"/>
      <w:divBdr>
        <w:top w:val="none" w:sz="0" w:space="0" w:color="auto"/>
        <w:left w:val="none" w:sz="0" w:space="0" w:color="auto"/>
        <w:bottom w:val="none" w:sz="0" w:space="0" w:color="auto"/>
        <w:right w:val="none" w:sz="0" w:space="0" w:color="auto"/>
      </w:divBdr>
    </w:div>
    <w:div w:id="1925725113">
      <w:bodyDiv w:val="1"/>
      <w:marLeft w:val="0"/>
      <w:marRight w:val="0"/>
      <w:marTop w:val="0"/>
      <w:marBottom w:val="0"/>
      <w:divBdr>
        <w:top w:val="none" w:sz="0" w:space="0" w:color="auto"/>
        <w:left w:val="none" w:sz="0" w:space="0" w:color="auto"/>
        <w:bottom w:val="none" w:sz="0" w:space="0" w:color="auto"/>
        <w:right w:val="none" w:sz="0" w:space="0" w:color="auto"/>
      </w:divBdr>
    </w:div>
    <w:div w:id="1934587504">
      <w:bodyDiv w:val="1"/>
      <w:marLeft w:val="0"/>
      <w:marRight w:val="0"/>
      <w:marTop w:val="0"/>
      <w:marBottom w:val="0"/>
      <w:divBdr>
        <w:top w:val="none" w:sz="0" w:space="0" w:color="auto"/>
        <w:left w:val="none" w:sz="0" w:space="0" w:color="auto"/>
        <w:bottom w:val="none" w:sz="0" w:space="0" w:color="auto"/>
        <w:right w:val="none" w:sz="0" w:space="0" w:color="auto"/>
      </w:divBdr>
    </w:div>
    <w:div w:id="1937055929">
      <w:bodyDiv w:val="1"/>
      <w:marLeft w:val="0"/>
      <w:marRight w:val="0"/>
      <w:marTop w:val="0"/>
      <w:marBottom w:val="0"/>
      <w:divBdr>
        <w:top w:val="none" w:sz="0" w:space="0" w:color="auto"/>
        <w:left w:val="none" w:sz="0" w:space="0" w:color="auto"/>
        <w:bottom w:val="none" w:sz="0" w:space="0" w:color="auto"/>
        <w:right w:val="none" w:sz="0" w:space="0" w:color="auto"/>
      </w:divBdr>
    </w:div>
    <w:div w:id="1941602097">
      <w:bodyDiv w:val="1"/>
      <w:marLeft w:val="0"/>
      <w:marRight w:val="0"/>
      <w:marTop w:val="0"/>
      <w:marBottom w:val="0"/>
      <w:divBdr>
        <w:top w:val="none" w:sz="0" w:space="0" w:color="auto"/>
        <w:left w:val="none" w:sz="0" w:space="0" w:color="auto"/>
        <w:bottom w:val="none" w:sz="0" w:space="0" w:color="auto"/>
        <w:right w:val="none" w:sz="0" w:space="0" w:color="auto"/>
      </w:divBdr>
    </w:div>
    <w:div w:id="1952201669">
      <w:bodyDiv w:val="1"/>
      <w:marLeft w:val="0"/>
      <w:marRight w:val="0"/>
      <w:marTop w:val="0"/>
      <w:marBottom w:val="0"/>
      <w:divBdr>
        <w:top w:val="none" w:sz="0" w:space="0" w:color="auto"/>
        <w:left w:val="none" w:sz="0" w:space="0" w:color="auto"/>
        <w:bottom w:val="none" w:sz="0" w:space="0" w:color="auto"/>
        <w:right w:val="none" w:sz="0" w:space="0" w:color="auto"/>
      </w:divBdr>
    </w:div>
    <w:div w:id="1955286610">
      <w:bodyDiv w:val="1"/>
      <w:marLeft w:val="0"/>
      <w:marRight w:val="0"/>
      <w:marTop w:val="0"/>
      <w:marBottom w:val="0"/>
      <w:divBdr>
        <w:top w:val="none" w:sz="0" w:space="0" w:color="auto"/>
        <w:left w:val="none" w:sz="0" w:space="0" w:color="auto"/>
        <w:bottom w:val="none" w:sz="0" w:space="0" w:color="auto"/>
        <w:right w:val="none" w:sz="0" w:space="0" w:color="auto"/>
      </w:divBdr>
    </w:div>
    <w:div w:id="1964266217">
      <w:bodyDiv w:val="1"/>
      <w:marLeft w:val="0"/>
      <w:marRight w:val="0"/>
      <w:marTop w:val="0"/>
      <w:marBottom w:val="0"/>
      <w:divBdr>
        <w:top w:val="none" w:sz="0" w:space="0" w:color="auto"/>
        <w:left w:val="none" w:sz="0" w:space="0" w:color="auto"/>
        <w:bottom w:val="none" w:sz="0" w:space="0" w:color="auto"/>
        <w:right w:val="none" w:sz="0" w:space="0" w:color="auto"/>
      </w:divBdr>
    </w:div>
    <w:div w:id="2000116751">
      <w:bodyDiv w:val="1"/>
      <w:marLeft w:val="0"/>
      <w:marRight w:val="0"/>
      <w:marTop w:val="0"/>
      <w:marBottom w:val="0"/>
      <w:divBdr>
        <w:top w:val="none" w:sz="0" w:space="0" w:color="auto"/>
        <w:left w:val="none" w:sz="0" w:space="0" w:color="auto"/>
        <w:bottom w:val="none" w:sz="0" w:space="0" w:color="auto"/>
        <w:right w:val="none" w:sz="0" w:space="0" w:color="auto"/>
      </w:divBdr>
    </w:div>
    <w:div w:id="2005011403">
      <w:bodyDiv w:val="1"/>
      <w:marLeft w:val="0"/>
      <w:marRight w:val="0"/>
      <w:marTop w:val="0"/>
      <w:marBottom w:val="0"/>
      <w:divBdr>
        <w:top w:val="none" w:sz="0" w:space="0" w:color="auto"/>
        <w:left w:val="none" w:sz="0" w:space="0" w:color="auto"/>
        <w:bottom w:val="none" w:sz="0" w:space="0" w:color="auto"/>
        <w:right w:val="none" w:sz="0" w:space="0" w:color="auto"/>
      </w:divBdr>
    </w:div>
    <w:div w:id="2010402422">
      <w:bodyDiv w:val="1"/>
      <w:marLeft w:val="0"/>
      <w:marRight w:val="0"/>
      <w:marTop w:val="0"/>
      <w:marBottom w:val="0"/>
      <w:divBdr>
        <w:top w:val="none" w:sz="0" w:space="0" w:color="auto"/>
        <w:left w:val="none" w:sz="0" w:space="0" w:color="auto"/>
        <w:bottom w:val="none" w:sz="0" w:space="0" w:color="auto"/>
        <w:right w:val="none" w:sz="0" w:space="0" w:color="auto"/>
      </w:divBdr>
    </w:div>
    <w:div w:id="2016883595">
      <w:bodyDiv w:val="1"/>
      <w:marLeft w:val="0"/>
      <w:marRight w:val="0"/>
      <w:marTop w:val="0"/>
      <w:marBottom w:val="0"/>
      <w:divBdr>
        <w:top w:val="none" w:sz="0" w:space="0" w:color="auto"/>
        <w:left w:val="none" w:sz="0" w:space="0" w:color="auto"/>
        <w:bottom w:val="none" w:sz="0" w:space="0" w:color="auto"/>
        <w:right w:val="none" w:sz="0" w:space="0" w:color="auto"/>
      </w:divBdr>
    </w:div>
    <w:div w:id="2026783658">
      <w:bodyDiv w:val="1"/>
      <w:marLeft w:val="0"/>
      <w:marRight w:val="0"/>
      <w:marTop w:val="0"/>
      <w:marBottom w:val="0"/>
      <w:divBdr>
        <w:top w:val="none" w:sz="0" w:space="0" w:color="auto"/>
        <w:left w:val="none" w:sz="0" w:space="0" w:color="auto"/>
        <w:bottom w:val="none" w:sz="0" w:space="0" w:color="auto"/>
        <w:right w:val="none" w:sz="0" w:space="0" w:color="auto"/>
      </w:divBdr>
    </w:div>
    <w:div w:id="2030832061">
      <w:bodyDiv w:val="1"/>
      <w:marLeft w:val="0"/>
      <w:marRight w:val="0"/>
      <w:marTop w:val="0"/>
      <w:marBottom w:val="0"/>
      <w:divBdr>
        <w:top w:val="none" w:sz="0" w:space="0" w:color="auto"/>
        <w:left w:val="none" w:sz="0" w:space="0" w:color="auto"/>
        <w:bottom w:val="none" w:sz="0" w:space="0" w:color="auto"/>
        <w:right w:val="none" w:sz="0" w:space="0" w:color="auto"/>
      </w:divBdr>
    </w:div>
    <w:div w:id="2052419780">
      <w:bodyDiv w:val="1"/>
      <w:marLeft w:val="0"/>
      <w:marRight w:val="0"/>
      <w:marTop w:val="0"/>
      <w:marBottom w:val="0"/>
      <w:divBdr>
        <w:top w:val="none" w:sz="0" w:space="0" w:color="auto"/>
        <w:left w:val="none" w:sz="0" w:space="0" w:color="auto"/>
        <w:bottom w:val="none" w:sz="0" w:space="0" w:color="auto"/>
        <w:right w:val="none" w:sz="0" w:space="0" w:color="auto"/>
      </w:divBdr>
    </w:div>
    <w:div w:id="2063014915">
      <w:bodyDiv w:val="1"/>
      <w:marLeft w:val="0"/>
      <w:marRight w:val="0"/>
      <w:marTop w:val="0"/>
      <w:marBottom w:val="0"/>
      <w:divBdr>
        <w:top w:val="none" w:sz="0" w:space="0" w:color="auto"/>
        <w:left w:val="none" w:sz="0" w:space="0" w:color="auto"/>
        <w:bottom w:val="none" w:sz="0" w:space="0" w:color="auto"/>
        <w:right w:val="none" w:sz="0" w:space="0" w:color="auto"/>
      </w:divBdr>
    </w:div>
    <w:div w:id="2071152837">
      <w:bodyDiv w:val="1"/>
      <w:marLeft w:val="0"/>
      <w:marRight w:val="0"/>
      <w:marTop w:val="0"/>
      <w:marBottom w:val="0"/>
      <w:divBdr>
        <w:top w:val="none" w:sz="0" w:space="0" w:color="auto"/>
        <w:left w:val="none" w:sz="0" w:space="0" w:color="auto"/>
        <w:bottom w:val="none" w:sz="0" w:space="0" w:color="auto"/>
        <w:right w:val="none" w:sz="0" w:space="0" w:color="auto"/>
      </w:divBdr>
    </w:div>
    <w:div w:id="2075153158">
      <w:bodyDiv w:val="1"/>
      <w:marLeft w:val="0"/>
      <w:marRight w:val="0"/>
      <w:marTop w:val="0"/>
      <w:marBottom w:val="0"/>
      <w:divBdr>
        <w:top w:val="none" w:sz="0" w:space="0" w:color="auto"/>
        <w:left w:val="none" w:sz="0" w:space="0" w:color="auto"/>
        <w:bottom w:val="none" w:sz="0" w:space="0" w:color="auto"/>
        <w:right w:val="none" w:sz="0" w:space="0" w:color="auto"/>
      </w:divBdr>
    </w:div>
    <w:div w:id="2078702713">
      <w:bodyDiv w:val="1"/>
      <w:marLeft w:val="0"/>
      <w:marRight w:val="0"/>
      <w:marTop w:val="0"/>
      <w:marBottom w:val="0"/>
      <w:divBdr>
        <w:top w:val="none" w:sz="0" w:space="0" w:color="auto"/>
        <w:left w:val="none" w:sz="0" w:space="0" w:color="auto"/>
        <w:bottom w:val="none" w:sz="0" w:space="0" w:color="auto"/>
        <w:right w:val="none" w:sz="0" w:space="0" w:color="auto"/>
      </w:divBdr>
    </w:div>
    <w:div w:id="2102144136">
      <w:bodyDiv w:val="1"/>
      <w:marLeft w:val="0"/>
      <w:marRight w:val="0"/>
      <w:marTop w:val="0"/>
      <w:marBottom w:val="0"/>
      <w:divBdr>
        <w:top w:val="none" w:sz="0" w:space="0" w:color="auto"/>
        <w:left w:val="none" w:sz="0" w:space="0" w:color="auto"/>
        <w:bottom w:val="none" w:sz="0" w:space="0" w:color="auto"/>
        <w:right w:val="none" w:sz="0" w:space="0" w:color="auto"/>
      </w:divBdr>
    </w:div>
    <w:div w:id="2103793375">
      <w:bodyDiv w:val="1"/>
      <w:marLeft w:val="0"/>
      <w:marRight w:val="0"/>
      <w:marTop w:val="0"/>
      <w:marBottom w:val="0"/>
      <w:divBdr>
        <w:top w:val="none" w:sz="0" w:space="0" w:color="auto"/>
        <w:left w:val="none" w:sz="0" w:space="0" w:color="auto"/>
        <w:bottom w:val="none" w:sz="0" w:space="0" w:color="auto"/>
        <w:right w:val="none" w:sz="0" w:space="0" w:color="auto"/>
      </w:divBdr>
    </w:div>
    <w:div w:id="2108310151">
      <w:bodyDiv w:val="1"/>
      <w:marLeft w:val="0"/>
      <w:marRight w:val="0"/>
      <w:marTop w:val="0"/>
      <w:marBottom w:val="0"/>
      <w:divBdr>
        <w:top w:val="none" w:sz="0" w:space="0" w:color="auto"/>
        <w:left w:val="none" w:sz="0" w:space="0" w:color="auto"/>
        <w:bottom w:val="none" w:sz="0" w:space="0" w:color="auto"/>
        <w:right w:val="none" w:sz="0" w:space="0" w:color="auto"/>
      </w:divBdr>
    </w:div>
    <w:div w:id="2109811670">
      <w:bodyDiv w:val="1"/>
      <w:marLeft w:val="0"/>
      <w:marRight w:val="0"/>
      <w:marTop w:val="0"/>
      <w:marBottom w:val="0"/>
      <w:divBdr>
        <w:top w:val="none" w:sz="0" w:space="0" w:color="auto"/>
        <w:left w:val="none" w:sz="0" w:space="0" w:color="auto"/>
        <w:bottom w:val="none" w:sz="0" w:space="0" w:color="auto"/>
        <w:right w:val="none" w:sz="0" w:space="0" w:color="auto"/>
      </w:divBdr>
    </w:div>
    <w:div w:id="2116749009">
      <w:bodyDiv w:val="1"/>
      <w:marLeft w:val="0"/>
      <w:marRight w:val="0"/>
      <w:marTop w:val="0"/>
      <w:marBottom w:val="0"/>
      <w:divBdr>
        <w:top w:val="none" w:sz="0" w:space="0" w:color="auto"/>
        <w:left w:val="none" w:sz="0" w:space="0" w:color="auto"/>
        <w:bottom w:val="none" w:sz="0" w:space="0" w:color="auto"/>
        <w:right w:val="none" w:sz="0" w:space="0" w:color="auto"/>
      </w:divBdr>
    </w:div>
    <w:div w:id="2119520891">
      <w:bodyDiv w:val="1"/>
      <w:marLeft w:val="0"/>
      <w:marRight w:val="0"/>
      <w:marTop w:val="0"/>
      <w:marBottom w:val="0"/>
      <w:divBdr>
        <w:top w:val="none" w:sz="0" w:space="0" w:color="auto"/>
        <w:left w:val="none" w:sz="0" w:space="0" w:color="auto"/>
        <w:bottom w:val="none" w:sz="0" w:space="0" w:color="auto"/>
        <w:right w:val="none" w:sz="0" w:space="0" w:color="auto"/>
      </w:divBdr>
    </w:div>
    <w:div w:id="21221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c9_v xmlns="cb7eed14-1ed6-4f4f-9464-e9d73fc2f8e9">2020</_x00c9_v>
    <T_x00e9_ma xmlns="cb7eed14-1ed6-4f4f-9464-e9d73fc2f8e9">Monitoring</T_x00e9_ma>
    <L_x00e1_that_x00f3_s_x00e1_g xmlns="cb7eed14-1ed6-4f4f-9464-e9d73fc2f8e9">Publikus</L_x00e1_that_x00f3_s_x00e1_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DF1BD466E83E842902559549E0F08F2" ma:contentTypeVersion="4" ma:contentTypeDescription="Új dokumentum létrehozása." ma:contentTypeScope="" ma:versionID="16794f1c5dc5a5f944faa50fcdca828a">
  <xsd:schema xmlns:xsd="http://www.w3.org/2001/XMLSchema" xmlns:xs="http://www.w3.org/2001/XMLSchema" xmlns:p="http://schemas.microsoft.com/office/2006/metadata/properties" xmlns:ns2="cb7eed14-1ed6-4f4f-9464-e9d73fc2f8e9" xmlns:ns3="9669010e-b829-4d86-87dd-cdce11b02043" targetNamespace="http://schemas.microsoft.com/office/2006/metadata/properties" ma:root="true" ma:fieldsID="269cfdae86c7a6b2550243d47e1e7c24" ns2:_="" ns3:_="">
    <xsd:import namespace="cb7eed14-1ed6-4f4f-9464-e9d73fc2f8e9"/>
    <xsd:import namespace="9669010e-b829-4d86-87dd-cdce11b02043"/>
    <xsd:element name="properties">
      <xsd:complexType>
        <xsd:sequence>
          <xsd:element name="documentManagement">
            <xsd:complexType>
              <xsd:all>
                <xsd:element ref="ns2:T_x00e9_ma" minOccurs="0"/>
                <xsd:element ref="ns2:_x00c9_v"/>
                <xsd:element ref="ns2:L_x00e1_that_x00f3_s_x00e1_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ed14-1ed6-4f4f-9464-e9d73fc2f8e9" elementFormDefault="qualified">
    <xsd:import namespace="http://schemas.microsoft.com/office/2006/documentManagement/types"/>
    <xsd:import namespace="http://schemas.microsoft.com/office/infopath/2007/PartnerControls"/>
    <xsd:element name="T_x00e9_ma" ma:index="2" nillable="true" ma:displayName="Téma" ma:format="Dropdown" ma:internalName="T_x00e9_ma">
      <xsd:simpleType>
        <xsd:restriction base="dms:Choice">
          <xsd:enumeration value="Tervezés"/>
          <xsd:enumeration value="Zárszámadás"/>
          <xsd:enumeration value="Törvénymódosítás"/>
          <xsd:enumeration value="ÁSZ ellenőrzés"/>
          <xsd:enumeration value="Gyorsjelentés"/>
          <xsd:enumeration value="Monitoring"/>
          <xsd:enumeration value="Tervezési tájékoztató"/>
          <xsd:enumeration value="Útmutató"/>
          <xsd:enumeration value="Munkaprogram"/>
          <xsd:enumeration value="Ütemterv"/>
          <xsd:enumeration value="Módosító"/>
          <xsd:enumeration value="Kormányülés"/>
          <xsd:enumeration value="Gazdasági kabinet"/>
          <xsd:enumeration value="Stratégiai kabinet"/>
          <xsd:enumeration value="IFMIS"/>
          <xsd:enumeration value="Fejezeten belüli átcsoportosítás"/>
          <xsd:enumeration value="Címlista"/>
          <xsd:enumeration value="BEÜ"/>
          <xsd:enumeration value="Koronavírus"/>
        </xsd:restriction>
      </xsd:simpleType>
    </xsd:element>
    <xsd:element name="_x00c9_v" ma:index="3" ma:displayName="Év" ma:default="2018" ma:format="Dropdown" ma:internalName="_x00c9_v">
      <xsd:simpleType>
        <xsd:restriction base="dms:Choice">
          <xsd:enumeration value="2021"/>
          <xsd:enumeration value="2020"/>
          <xsd:enumeration value="2019"/>
          <xsd:enumeration value="2018"/>
          <xsd:enumeration value="2017"/>
          <xsd:enumeration value="2016"/>
          <xsd:enumeration value="2015"/>
        </xsd:restriction>
      </xsd:simpleType>
    </xsd:element>
    <xsd:element name="L_x00e1_that_x00f3_s_x00e1_g" ma:index="4" nillable="true" ma:displayName="Láthatóság" ma:default="Publikus" ma:format="Dropdown" ma:internalName="L_x00e1_that_x00f3_s_x00e1_g">
      <xsd:simpleType>
        <xsd:restriction base="dms:Choice">
          <xsd:enumeration value="Publikus"/>
          <xsd:enumeration value="Csak admin látja (verziókat tartalmaz)"/>
        </xsd:restriction>
      </xsd:simpleType>
    </xsd:element>
  </xsd:schema>
  <xsd:schema xmlns:xsd="http://www.w3.org/2001/XMLSchema" xmlns:xs="http://www.w3.org/2001/XMLSchema" xmlns:dms="http://schemas.microsoft.com/office/2006/documentManagement/types" xmlns:pc="http://schemas.microsoft.com/office/infopath/2007/PartnerControls" targetNamespace="9669010e-b829-4d86-87dd-cdce11b02043" elementFormDefault="qualified">
    <xsd:import namespace="http://schemas.microsoft.com/office/2006/documentManagement/types"/>
    <xsd:import namespace="http://schemas.microsoft.com/office/infopath/2007/PartnerControls"/>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480CA-BC7A-45F3-A224-17837488D9B2}">
  <ds:schemaRefs>
    <ds:schemaRef ds:uri="http://schemas.microsoft.com/office/2006/metadata/properties"/>
    <ds:schemaRef ds:uri="http://schemas.microsoft.com/office/infopath/2007/PartnerControls"/>
    <ds:schemaRef ds:uri="cb7eed14-1ed6-4f4f-9464-e9d73fc2f8e9"/>
  </ds:schemaRefs>
</ds:datastoreItem>
</file>

<file path=customXml/itemProps2.xml><?xml version="1.0" encoding="utf-8"?>
<ds:datastoreItem xmlns:ds="http://schemas.openxmlformats.org/officeDocument/2006/customXml" ds:itemID="{54E78AD5-6B76-4533-9306-00D2F12000D1}">
  <ds:schemaRefs>
    <ds:schemaRef ds:uri="http://schemas.microsoft.com/sharepoint/v3/contenttype/forms"/>
  </ds:schemaRefs>
</ds:datastoreItem>
</file>

<file path=customXml/itemProps3.xml><?xml version="1.0" encoding="utf-8"?>
<ds:datastoreItem xmlns:ds="http://schemas.openxmlformats.org/officeDocument/2006/customXml" ds:itemID="{BC41A8B7-2573-454A-A554-B10E2C8AB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ed14-1ed6-4f4f-9464-e9d73fc2f8e9"/>
    <ds:schemaRef ds:uri="9669010e-b829-4d86-87dd-cdce11b02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B75C5-2A05-4332-9CBA-E74F78AB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5598</Words>
  <Characters>38627</Characters>
  <Application>Microsoft Office Word</Application>
  <DocSecurity>0</DocSecurity>
  <Lines>321</Lines>
  <Paragraphs>88</Paragraphs>
  <ScaleCrop>false</ScaleCrop>
  <HeadingPairs>
    <vt:vector size="2" baseType="variant">
      <vt:variant>
        <vt:lpstr>Cím</vt:lpstr>
      </vt:variant>
      <vt:variant>
        <vt:i4>1</vt:i4>
      </vt:variant>
    </vt:vector>
  </HeadingPairs>
  <TitlesOfParts>
    <vt:vector size="1" baseType="lpstr">
      <vt:lpstr>Tájékoztató az államháztartás központi alrendszerének 2020. július havi helyzetéről</vt:lpstr>
    </vt:vector>
  </TitlesOfParts>
  <LinksUpToDate>false</LinksUpToDate>
  <CharactersWithSpaces>44137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 az államháztartás központi alrendszerének 2020. július havi helyzetéről</dc:title>
  <dc:creator/>
  <cp:lastModifiedBy/>
  <cp:revision>1</cp:revision>
  <dcterms:created xsi:type="dcterms:W3CDTF">2020-08-18T09:19:00Z</dcterms:created>
  <dcterms:modified xsi:type="dcterms:W3CDTF">2020-08-18T09:19:00Z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0x010100CDF1BD466E83E842902559549E0F08F2</vt:lpwstr>
  </property>
</Properties>
</file>