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35" w:rsidRDefault="00EA7935" w:rsidP="00EA7935">
      <w:pPr>
        <w:pStyle w:val="Cmsor9"/>
        <w:numPr>
          <w:ilvl w:val="0"/>
          <w:numId w:val="2"/>
        </w:numPr>
        <w:tabs>
          <w:tab w:val="left" w:pos="0"/>
        </w:tabs>
        <w:ind w:right="39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számú melléklet</w:t>
      </w:r>
    </w:p>
    <w:p w:rsidR="00EA7935" w:rsidRDefault="00EA7935" w:rsidP="00EA7935">
      <w:pPr>
        <w:ind w:left="6381"/>
        <w:jc w:val="right"/>
        <w:rPr>
          <w:b/>
        </w:rPr>
      </w:pPr>
    </w:p>
    <w:p w:rsidR="00EA7935" w:rsidRPr="006B4DD5" w:rsidRDefault="00EA7935" w:rsidP="00EA7935">
      <w:pPr>
        <w:pStyle w:val="Cmsor9"/>
        <w:numPr>
          <w:ilvl w:val="0"/>
          <w:numId w:val="0"/>
        </w:numPr>
        <w:tabs>
          <w:tab w:val="left" w:pos="0"/>
        </w:tabs>
        <w:ind w:right="39"/>
        <w:jc w:val="center"/>
        <w:rPr>
          <w:rFonts w:ascii="Times New Roman" w:hAnsi="Times New Roman"/>
          <w:b/>
          <w:sz w:val="24"/>
          <w:szCs w:val="24"/>
        </w:rPr>
      </w:pPr>
      <w:r w:rsidRPr="006B4DD5">
        <w:rPr>
          <w:rFonts w:ascii="Times New Roman" w:hAnsi="Times New Roman"/>
          <w:b/>
          <w:sz w:val="24"/>
          <w:szCs w:val="24"/>
        </w:rPr>
        <w:t>SEGÉDLET</w:t>
      </w:r>
    </w:p>
    <w:p w:rsidR="00EA7935" w:rsidRPr="006B4DD5" w:rsidRDefault="00EA7935" w:rsidP="00EA7935">
      <w:pPr>
        <w:jc w:val="center"/>
      </w:pPr>
      <w:r w:rsidRPr="006B4DD5">
        <w:t>a békéltetető testületek szakmai beszámolójának elkészítéséhez</w:t>
      </w:r>
    </w:p>
    <w:p w:rsidR="00EA7935" w:rsidRPr="006B4DD5" w:rsidRDefault="00EA7935" w:rsidP="00EA7935">
      <w:pPr>
        <w:jc w:val="center"/>
      </w:pPr>
      <w:r w:rsidRPr="006B4DD5">
        <w:t>(területi kamarák részére)</w:t>
      </w:r>
    </w:p>
    <w:p w:rsidR="00EA7935" w:rsidRPr="006B4DD5" w:rsidRDefault="00EA7935" w:rsidP="00EA7935"/>
    <w:p w:rsidR="00EA7935" w:rsidRPr="006B4DD5" w:rsidRDefault="00EA7935" w:rsidP="00EA7935"/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EA7935" w:rsidRPr="006B4DD5" w:rsidTr="00B63C7C">
        <w:trPr>
          <w:cantSplit/>
        </w:trPr>
        <w:tc>
          <w:tcPr>
            <w:tcW w:w="9639" w:type="dxa"/>
            <w:gridSpan w:val="2"/>
          </w:tcPr>
          <w:p w:rsidR="00EA7935" w:rsidRPr="006B4DD5" w:rsidRDefault="00EA7935" w:rsidP="00B63C7C">
            <w:pPr>
              <w:rPr>
                <w:iCs/>
              </w:rPr>
            </w:pPr>
            <w:r w:rsidRPr="006B4DD5">
              <w:rPr>
                <w:iCs/>
              </w:rPr>
              <w:t>Közreműködő szervezet neve (támogatási szerződés szerint):</w:t>
            </w:r>
          </w:p>
          <w:p w:rsidR="00EA7935" w:rsidRPr="006B4DD5" w:rsidRDefault="00B63C7C" w:rsidP="00B63C7C">
            <w:pPr>
              <w:rPr>
                <w:iCs/>
              </w:rPr>
            </w:pPr>
            <w:r>
              <w:rPr>
                <w:iCs/>
              </w:rPr>
              <w:t>Vas Megyei Kereskedelmi és Iparkamara</w:t>
            </w:r>
          </w:p>
          <w:p w:rsidR="00EA7935" w:rsidRPr="006B4DD5" w:rsidRDefault="00EA7935" w:rsidP="00B63C7C">
            <w:pPr>
              <w:rPr>
                <w:iCs/>
              </w:rPr>
            </w:pPr>
          </w:p>
        </w:tc>
      </w:tr>
      <w:tr w:rsidR="00EA7935" w:rsidRPr="006B4DD5" w:rsidTr="00B63C7C">
        <w:trPr>
          <w:cantSplit/>
        </w:trPr>
        <w:tc>
          <w:tcPr>
            <w:tcW w:w="5670" w:type="dxa"/>
            <w:tcBorders>
              <w:right w:val="single" w:sz="4" w:space="0" w:color="auto"/>
            </w:tcBorders>
          </w:tcPr>
          <w:p w:rsidR="00EA7935" w:rsidRPr="006B4DD5" w:rsidRDefault="00EA7935" w:rsidP="00B63C7C">
            <w:pPr>
              <w:rPr>
                <w:iCs/>
              </w:rPr>
            </w:pPr>
            <w:r w:rsidRPr="006B4DD5">
              <w:rPr>
                <w:iCs/>
              </w:rPr>
              <w:t>Közreműködő szervezet címe:</w:t>
            </w:r>
          </w:p>
          <w:p w:rsidR="00EA7935" w:rsidRPr="006B4DD5" w:rsidRDefault="00B63C7C" w:rsidP="00B63C7C">
            <w:pPr>
              <w:rPr>
                <w:iCs/>
              </w:rPr>
            </w:pPr>
            <w:r>
              <w:rPr>
                <w:iCs/>
              </w:rPr>
              <w:t>9700 Szombathely, Honvéd tér 2.</w:t>
            </w:r>
          </w:p>
          <w:p w:rsidR="00EA7935" w:rsidRPr="006B4DD5" w:rsidRDefault="00EA7935" w:rsidP="00B63C7C">
            <w:pPr>
              <w:rPr>
                <w:iCs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EA7935" w:rsidRPr="006B4DD5" w:rsidRDefault="00EA7935" w:rsidP="00B63C7C">
            <w:pPr>
              <w:pStyle w:val="Szvegtrzs"/>
              <w:rPr>
                <w:i/>
                <w:iCs/>
              </w:rPr>
            </w:pPr>
            <w:r w:rsidRPr="006B4DD5">
              <w:rPr>
                <w:iCs/>
              </w:rPr>
              <w:t>Levelezési címe:</w:t>
            </w:r>
          </w:p>
          <w:p w:rsidR="00EA7935" w:rsidRPr="006B4DD5" w:rsidRDefault="00B63C7C" w:rsidP="00B63C7C">
            <w:pPr>
              <w:rPr>
                <w:iCs/>
              </w:rPr>
            </w:pPr>
            <w:r>
              <w:rPr>
                <w:iCs/>
              </w:rPr>
              <w:t>9700 Szombathely, Honvéd tér 2.</w:t>
            </w:r>
          </w:p>
          <w:p w:rsidR="00EA7935" w:rsidRPr="006B4DD5" w:rsidRDefault="00EA7935" w:rsidP="00B63C7C">
            <w:pPr>
              <w:rPr>
                <w:iCs/>
              </w:rPr>
            </w:pPr>
          </w:p>
        </w:tc>
      </w:tr>
      <w:tr w:rsidR="00EA7935" w:rsidRPr="006B4DD5" w:rsidTr="00B63C7C">
        <w:tc>
          <w:tcPr>
            <w:tcW w:w="5670" w:type="dxa"/>
          </w:tcPr>
          <w:p w:rsidR="00EA7935" w:rsidRPr="006B4DD5" w:rsidRDefault="00EA7935" w:rsidP="00B63C7C">
            <w:pPr>
              <w:rPr>
                <w:iCs/>
              </w:rPr>
            </w:pPr>
            <w:r w:rsidRPr="006B4DD5">
              <w:rPr>
                <w:iCs/>
              </w:rPr>
              <w:t>Közreműködő szervezet (vagy számlatulajdonos) bankszámlaszáma:</w:t>
            </w:r>
          </w:p>
          <w:p w:rsidR="00B63C7C" w:rsidRPr="00605B85" w:rsidRDefault="00B63C7C" w:rsidP="00B63C7C">
            <w:pPr>
              <w:rPr>
                <w:iCs/>
              </w:rPr>
            </w:pPr>
            <w:r w:rsidRPr="00605B85">
              <w:rPr>
                <w:iCs/>
              </w:rPr>
              <w:t xml:space="preserve">11747006-20176620 </w:t>
            </w:r>
          </w:p>
          <w:p w:rsidR="00EA7935" w:rsidRPr="006B4DD5" w:rsidRDefault="00EA7935" w:rsidP="00B63C7C">
            <w:pPr>
              <w:rPr>
                <w:iCs/>
              </w:rPr>
            </w:pPr>
          </w:p>
          <w:p w:rsidR="00EA7935" w:rsidRPr="006B4DD5" w:rsidRDefault="00EA7935" w:rsidP="00B63C7C">
            <w:pPr>
              <w:rPr>
                <w:iCs/>
              </w:rPr>
            </w:pPr>
            <w:r w:rsidRPr="006B4DD5">
              <w:rPr>
                <w:iCs/>
              </w:rPr>
              <w:t>_  _  _  _  _  _  _  _-_  _  _  _  _  _  _  _-_  _  _  _  _  _  _ _</w:t>
            </w:r>
          </w:p>
          <w:p w:rsidR="00EA7935" w:rsidRPr="006B4DD5" w:rsidRDefault="00EA7935" w:rsidP="00B63C7C">
            <w:pPr>
              <w:rPr>
                <w:iCs/>
              </w:rPr>
            </w:pPr>
          </w:p>
        </w:tc>
        <w:tc>
          <w:tcPr>
            <w:tcW w:w="3969" w:type="dxa"/>
          </w:tcPr>
          <w:p w:rsidR="00EA7935" w:rsidRPr="006B4DD5" w:rsidRDefault="00EA7935" w:rsidP="00B63C7C">
            <w:pPr>
              <w:pStyle w:val="llb"/>
              <w:tabs>
                <w:tab w:val="clear" w:pos="4536"/>
                <w:tab w:val="clear" w:pos="9072"/>
              </w:tabs>
            </w:pPr>
            <w:r w:rsidRPr="006B4DD5">
              <w:t>Közreműködő adószáma:</w:t>
            </w:r>
          </w:p>
          <w:p w:rsidR="00EA7935" w:rsidRPr="006B4DD5" w:rsidRDefault="00EA7935" w:rsidP="00B63C7C">
            <w:pPr>
              <w:pStyle w:val="llb"/>
              <w:tabs>
                <w:tab w:val="clear" w:pos="4536"/>
                <w:tab w:val="clear" w:pos="9072"/>
              </w:tabs>
            </w:pPr>
          </w:p>
          <w:p w:rsidR="00EA7935" w:rsidRPr="006B4DD5" w:rsidRDefault="00EA7935" w:rsidP="00B63C7C">
            <w:pPr>
              <w:pStyle w:val="llb"/>
              <w:tabs>
                <w:tab w:val="clear" w:pos="4536"/>
                <w:tab w:val="clear" w:pos="9072"/>
              </w:tabs>
            </w:pPr>
          </w:p>
        </w:tc>
      </w:tr>
      <w:tr w:rsidR="00EA7935" w:rsidRPr="006B4DD5" w:rsidTr="00B63C7C">
        <w:trPr>
          <w:trHeight w:val="452"/>
        </w:trPr>
        <w:tc>
          <w:tcPr>
            <w:tcW w:w="9639" w:type="dxa"/>
            <w:gridSpan w:val="2"/>
            <w:vAlign w:val="bottom"/>
          </w:tcPr>
          <w:p w:rsidR="00EA7935" w:rsidRPr="006B4DD5" w:rsidRDefault="00EA7935" w:rsidP="00B63C7C">
            <w:pPr>
              <w:rPr>
                <w:iCs/>
                <w:position w:val="-6"/>
              </w:rPr>
            </w:pPr>
            <w:r w:rsidRPr="006B4DD5">
              <w:rPr>
                <w:position w:val="-6"/>
              </w:rPr>
              <w:t>Szerződés szám:</w:t>
            </w:r>
          </w:p>
        </w:tc>
      </w:tr>
      <w:tr w:rsidR="00EA7935" w:rsidRPr="006B4DD5" w:rsidTr="00B63C7C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639" w:type="dxa"/>
            <w:gridSpan w:val="2"/>
          </w:tcPr>
          <w:p w:rsidR="00EA7935" w:rsidRPr="006B4DD5" w:rsidRDefault="00EA7935" w:rsidP="00B63C7C">
            <w:pPr>
              <w:rPr>
                <w:b/>
                <w:iCs/>
              </w:rPr>
            </w:pPr>
            <w:r w:rsidRPr="006B4DD5">
              <w:rPr>
                <w:iCs/>
              </w:rPr>
              <w:t xml:space="preserve">A megvalósított feladat címe: </w:t>
            </w:r>
            <w:r w:rsidRPr="006B4DD5">
              <w:rPr>
                <w:b/>
                <w:iCs/>
              </w:rPr>
              <w:t>A területi gazdasági kamarák mellett működő független békéltető testületek 2015. évi működtetési kiadásokhoz és költségekhez pénzügyi támogatás nyújtása</w:t>
            </w:r>
          </w:p>
          <w:p w:rsidR="00EA7935" w:rsidRPr="006B4DD5" w:rsidRDefault="00EA7935" w:rsidP="00B63C7C">
            <w:pPr>
              <w:rPr>
                <w:iCs/>
              </w:rPr>
            </w:pPr>
          </w:p>
        </w:tc>
      </w:tr>
    </w:tbl>
    <w:p w:rsidR="00EA7935" w:rsidRPr="006B4DD5" w:rsidRDefault="00EA7935" w:rsidP="00EA7935">
      <w:pPr>
        <w:tabs>
          <w:tab w:val="left" w:pos="1576"/>
        </w:tabs>
        <w:rPr>
          <w:iCs/>
        </w:rPr>
      </w:pPr>
    </w:p>
    <w:p w:rsidR="00EA7935" w:rsidRPr="006B4DD5" w:rsidRDefault="00EA7935" w:rsidP="00EA7935">
      <w:pPr>
        <w:jc w:val="center"/>
      </w:pPr>
    </w:p>
    <w:p w:rsidR="00EA7935" w:rsidRPr="006B4DD5" w:rsidRDefault="00EA7935" w:rsidP="00EA7935">
      <w:pPr>
        <w:jc w:val="center"/>
        <w:rPr>
          <w:b/>
        </w:rPr>
      </w:pPr>
      <w:r w:rsidRPr="006B4DD5">
        <w:rPr>
          <w:b/>
        </w:rPr>
        <w:t>I. rész</w:t>
      </w:r>
    </w:p>
    <w:p w:rsidR="00EA7935" w:rsidRPr="006B4DD5" w:rsidRDefault="00EA7935" w:rsidP="00EA7935"/>
    <w:p w:rsidR="00EA7935" w:rsidRPr="006B4DD5" w:rsidRDefault="00EA7935" w:rsidP="00EA7935">
      <w:pPr>
        <w:jc w:val="center"/>
        <w:rPr>
          <w:b/>
          <w:bCs/>
        </w:rPr>
      </w:pPr>
      <w:r w:rsidRPr="006B4DD5">
        <w:rPr>
          <w:b/>
          <w:bCs/>
        </w:rPr>
        <w:t>Szakmai beszámoló</w:t>
      </w:r>
    </w:p>
    <w:p w:rsidR="00EA7935" w:rsidRPr="006B4DD5" w:rsidRDefault="00EA7935" w:rsidP="00EA7935">
      <w:pPr>
        <w:jc w:val="center"/>
        <w:rPr>
          <w:b/>
          <w:bCs/>
        </w:rPr>
      </w:pPr>
      <w:r w:rsidRPr="006B4DD5">
        <w:rPr>
          <w:b/>
          <w:bCs/>
        </w:rPr>
        <w:t>A békéltető testületek 2015. évi meghatározott finanszírozási időszakaiban végzett tevékenységéről</w:t>
      </w:r>
    </w:p>
    <w:p w:rsidR="00EA7935" w:rsidRPr="006B4DD5" w:rsidRDefault="00EA7935" w:rsidP="00EA7935">
      <w:pPr>
        <w:rPr>
          <w:b/>
        </w:rPr>
      </w:pPr>
    </w:p>
    <w:tbl>
      <w:tblPr>
        <w:tblW w:w="96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856"/>
      </w:tblGrid>
      <w:tr w:rsidR="00EA7935" w:rsidRPr="006B4DD5" w:rsidTr="00B63C7C">
        <w:trPr>
          <w:cantSplit/>
        </w:trPr>
        <w:tc>
          <w:tcPr>
            <w:tcW w:w="4784" w:type="dxa"/>
          </w:tcPr>
          <w:p w:rsidR="00EA7935" w:rsidRPr="006B4DD5" w:rsidRDefault="00EA7935" w:rsidP="00B63C7C">
            <w:pPr>
              <w:pStyle w:val="Szvegtrzsbehzssal"/>
              <w:ind w:left="57"/>
              <w:rPr>
                <w:sz w:val="24"/>
                <w:szCs w:val="24"/>
              </w:rPr>
            </w:pPr>
            <w:r w:rsidRPr="006B4DD5">
              <w:rPr>
                <w:sz w:val="24"/>
                <w:szCs w:val="24"/>
              </w:rPr>
              <w:t>A szakmai beszámolót készítő személy neve:</w:t>
            </w:r>
          </w:p>
          <w:p w:rsidR="00EA7935" w:rsidRPr="006B4DD5" w:rsidRDefault="00D21369" w:rsidP="00B63C7C">
            <w:pPr>
              <w:pStyle w:val="Szvegtrzsbehzssal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Kövesdi</w:t>
            </w:r>
            <w:r w:rsidR="00B63C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Zoltán</w:t>
            </w:r>
            <w:r w:rsidR="00B63C7C">
              <w:rPr>
                <w:sz w:val="24"/>
                <w:szCs w:val="24"/>
              </w:rPr>
              <w:t xml:space="preserve"> elnök</w:t>
            </w:r>
          </w:p>
          <w:p w:rsidR="00EA7935" w:rsidRPr="006B4DD5" w:rsidRDefault="00EA7935" w:rsidP="00B63C7C">
            <w:pPr>
              <w:rPr>
                <w:bCs/>
                <w:i/>
                <w:iCs/>
              </w:rPr>
            </w:pPr>
          </w:p>
        </w:tc>
        <w:tc>
          <w:tcPr>
            <w:tcW w:w="4856" w:type="dxa"/>
          </w:tcPr>
          <w:p w:rsidR="00EA7935" w:rsidRPr="006B4DD5" w:rsidRDefault="00EA7935" w:rsidP="00B63C7C">
            <w:pPr>
              <w:rPr>
                <w:bCs/>
                <w:i/>
                <w:iCs/>
              </w:rPr>
            </w:pPr>
            <w:r w:rsidRPr="006B4DD5">
              <w:rPr>
                <w:bCs/>
                <w:i/>
                <w:iCs/>
              </w:rPr>
              <w:t>A beszámolót készítő személy telefonszáma:</w:t>
            </w:r>
          </w:p>
          <w:p w:rsidR="00EA7935" w:rsidRPr="006B4DD5" w:rsidRDefault="00B63C7C" w:rsidP="00B63C7C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+36309566708</w:t>
            </w:r>
          </w:p>
          <w:p w:rsidR="00EA7935" w:rsidRPr="006B4DD5" w:rsidRDefault="00EA7935" w:rsidP="00B63C7C">
            <w:pPr>
              <w:rPr>
                <w:bCs/>
                <w:i/>
                <w:iCs/>
              </w:rPr>
            </w:pPr>
          </w:p>
        </w:tc>
      </w:tr>
      <w:tr w:rsidR="00EA7935" w:rsidRPr="006B4DD5" w:rsidTr="00B63C7C">
        <w:trPr>
          <w:cantSplit/>
        </w:trPr>
        <w:tc>
          <w:tcPr>
            <w:tcW w:w="4784" w:type="dxa"/>
          </w:tcPr>
          <w:p w:rsidR="00EA7935" w:rsidRPr="006B4DD5" w:rsidRDefault="00EA7935" w:rsidP="00B63C7C">
            <w:pPr>
              <w:rPr>
                <w:bCs/>
                <w:i/>
                <w:iCs/>
              </w:rPr>
            </w:pPr>
          </w:p>
        </w:tc>
        <w:tc>
          <w:tcPr>
            <w:tcW w:w="4856" w:type="dxa"/>
          </w:tcPr>
          <w:p w:rsidR="00EA7935" w:rsidRPr="006B4DD5" w:rsidRDefault="00EA7935" w:rsidP="00B63C7C">
            <w:pPr>
              <w:rPr>
                <w:bCs/>
                <w:i/>
                <w:iCs/>
              </w:rPr>
            </w:pPr>
          </w:p>
        </w:tc>
      </w:tr>
    </w:tbl>
    <w:p w:rsidR="00EA7935" w:rsidRPr="006B4DD5" w:rsidRDefault="00EA7935" w:rsidP="00EA7935">
      <w:pPr>
        <w:tabs>
          <w:tab w:val="left" w:pos="10602"/>
        </w:tabs>
        <w:spacing w:line="360" w:lineRule="auto"/>
        <w:ind w:right="882"/>
        <w:jc w:val="both"/>
        <w:rPr>
          <w:b/>
        </w:rPr>
      </w:pPr>
      <w:r w:rsidRPr="006B4DD5">
        <w:rPr>
          <w:b/>
        </w:rPr>
        <w:t xml:space="preserve">A statisztikai adatlapok kitöltése és a részletes szöveges szakmai beszámoló elkészítése minden egyes (szerződésben előre meghatározott) beszámolási időszakban szükséges. Az adatlapokat a </w:t>
      </w:r>
      <w:hyperlink r:id="rId8" w:history="1">
        <w:r w:rsidRPr="006B4DD5">
          <w:rPr>
            <w:rStyle w:val="Hiperhivatkozs"/>
            <w:b/>
          </w:rPr>
          <w:t>www.bekeltetes.hu</w:t>
        </w:r>
      </w:hyperlink>
      <w:r w:rsidRPr="006B4DD5">
        <w:rPr>
          <w:b/>
        </w:rPr>
        <w:t xml:space="preserve"> honlapon lévő program használatával kell kitölteni. Amennyiben az adott beszámolási időszakban a kérdés nem releváns, kérjük, nyilatkozzanak erről (pl. promóciót nem valósítottak meg a kérdéses időszakban). A válaszoknál a sorok bővíthetők</w:t>
      </w:r>
    </w:p>
    <w:p w:rsidR="00EA7935" w:rsidRPr="006B4DD5" w:rsidRDefault="00EA7935" w:rsidP="00EA7935">
      <w:pPr>
        <w:rPr>
          <w:b/>
        </w:rPr>
      </w:pPr>
    </w:p>
    <w:tbl>
      <w:tblPr>
        <w:tblW w:w="96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2"/>
        <w:gridCol w:w="28"/>
      </w:tblGrid>
      <w:tr w:rsidR="00EA7935" w:rsidRPr="006B4DD5" w:rsidTr="0099458B">
        <w:trPr>
          <w:cantSplit/>
          <w:trHeight w:val="397"/>
        </w:trPr>
        <w:tc>
          <w:tcPr>
            <w:tcW w:w="9640" w:type="dxa"/>
            <w:gridSpan w:val="2"/>
            <w:shd w:val="clear" w:color="auto" w:fill="FFFFFF" w:themeFill="background1"/>
          </w:tcPr>
          <w:p w:rsidR="00EA7935" w:rsidRPr="00E20CDE" w:rsidRDefault="00EA7935" w:rsidP="00B63C7C">
            <w:pPr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E20CDE">
              <w:rPr>
                <w:b/>
                <w:bCs/>
                <w:i/>
                <w:iCs/>
              </w:rPr>
              <w:lastRenderedPageBreak/>
              <w:t>1. Ismertesse 2015. évhez/előző félévhez képest a testületben történt lényegesebb változásokat! (A testület létszáma, összetétele, működési feltételei stb.)</w:t>
            </w:r>
          </w:p>
          <w:p w:rsidR="00B63C7C" w:rsidRPr="00CD7804" w:rsidRDefault="00B63C7C" w:rsidP="00B63C7C">
            <w:pPr>
              <w:jc w:val="both"/>
              <w:rPr>
                <w:bCs/>
                <w:iCs/>
              </w:rPr>
            </w:pPr>
            <w:r w:rsidRPr="00CD7804">
              <w:rPr>
                <w:bCs/>
                <w:iCs/>
              </w:rPr>
              <w:t>A testület lé</w:t>
            </w:r>
            <w:r>
              <w:rPr>
                <w:bCs/>
                <w:iCs/>
              </w:rPr>
              <w:t>tszámában, összetételében a 2014</w:t>
            </w:r>
            <w:r w:rsidRPr="00CD7804">
              <w:rPr>
                <w:bCs/>
                <w:iCs/>
              </w:rPr>
              <w:t xml:space="preserve">. évhez viszonyítva változás nem történt. Az előző </w:t>
            </w:r>
            <w:r>
              <w:rPr>
                <w:bCs/>
                <w:iCs/>
              </w:rPr>
              <w:t xml:space="preserve">választási </w:t>
            </w:r>
            <w:r w:rsidRPr="00CD7804">
              <w:rPr>
                <w:bCs/>
                <w:iCs/>
              </w:rPr>
              <w:t xml:space="preserve">ciklushoz képest több jogi végzettséggel rendelkező személy vállalt testületi munkát, akik aktívan részt vesznek az eljárásokban. </w:t>
            </w:r>
          </w:p>
          <w:p w:rsidR="00B63C7C" w:rsidRPr="006B4DD5" w:rsidRDefault="00B63C7C" w:rsidP="00B63C7C">
            <w:pPr>
              <w:spacing w:line="360" w:lineRule="auto"/>
              <w:jc w:val="both"/>
              <w:rPr>
                <w:bCs/>
                <w:iCs/>
              </w:rPr>
            </w:pPr>
            <w:r w:rsidRPr="00CD7804">
              <w:rPr>
                <w:bCs/>
                <w:iCs/>
              </w:rPr>
              <w:t xml:space="preserve">Az elhelyezés körülményei, a technikai feltételek változatlanul jók, a gondot a pénzügyi feltételek szűkülése okozza, </w:t>
            </w:r>
            <w:r>
              <w:rPr>
                <w:bCs/>
                <w:iCs/>
              </w:rPr>
              <w:t>súlyosan érinti tagjainkat a támogatás folyósításának időbeli csúszása, elmaradása.</w:t>
            </w:r>
            <w:r w:rsidR="00605B85">
              <w:rPr>
                <w:bCs/>
                <w:iCs/>
              </w:rPr>
              <w:t xml:space="preserve"> A tagjaink egész éves munkájának kifizetése csaknem egy éves késéssel került sor!</w:t>
            </w:r>
          </w:p>
        </w:tc>
      </w:tr>
      <w:tr w:rsidR="00EA7935" w:rsidRPr="006B4DD5" w:rsidTr="0099458B">
        <w:trPr>
          <w:cantSplit/>
          <w:trHeight w:val="397"/>
        </w:trPr>
        <w:tc>
          <w:tcPr>
            <w:tcW w:w="9640" w:type="dxa"/>
            <w:gridSpan w:val="2"/>
            <w:shd w:val="clear" w:color="auto" w:fill="FFFFFF" w:themeFill="background1"/>
          </w:tcPr>
          <w:p w:rsidR="00EA7935" w:rsidRPr="00E20CDE" w:rsidRDefault="00EA7935" w:rsidP="00B63C7C">
            <w:pPr>
              <w:tabs>
                <w:tab w:val="left" w:pos="5490"/>
              </w:tabs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E20CDE">
              <w:rPr>
                <w:b/>
                <w:bCs/>
                <w:i/>
                <w:iCs/>
              </w:rPr>
              <w:lastRenderedPageBreak/>
              <w:t>2. Szövegesen értékelje a statisztikai adatokat! A 2.1.-2.7. kérdések megválaszolása során mutassa be az adatok mögötti eseményeket, tapasztalatokat, változások okait.</w:t>
            </w:r>
          </w:p>
          <w:p w:rsidR="00EA7935" w:rsidRDefault="00EA7935" w:rsidP="00B63C7C">
            <w:pPr>
              <w:spacing w:line="360" w:lineRule="auto"/>
              <w:ind w:left="567"/>
              <w:jc w:val="both"/>
              <w:rPr>
                <w:bCs/>
                <w:iCs/>
              </w:rPr>
            </w:pPr>
            <w:r w:rsidRPr="00E20CDE">
              <w:rPr>
                <w:b/>
                <w:bCs/>
                <w:i/>
                <w:iCs/>
              </w:rPr>
              <w:t>2.1. A ügyek tárgya szerinti bontásának megfelelően (M2 számú melléklet) ismertesse a főbb panasz okokat, milyen panaszok mögött húzódnak meg valószínűsíthetően nagyobb fogyasztói érdeksérelemre utaló jelenségek, e tekintetben volt e változás az előző félévhez képest, előfordultak-e, s ha igen milyen korábban nem tapasztalt problémák, panaszok. A problémák leküzdése érdekében milyen intézkedéseket javasolnak (jogszabály-módosítás, egyeztetés az érintett szakmai érdekképviseleti szervezetekkel, fogyasztók tájékoztatása, fokozottabb hatósági fellépés, stb.)? Ehhez kapcsolódóan mutassa be, hogy milyen ajánlásokat fogalmazott meg a testület arra vonatkozóan, hogy a jövőben az ilyen típusú problémák ne forduljanak elő</w:t>
            </w:r>
            <w:r w:rsidRPr="006B4DD5">
              <w:rPr>
                <w:bCs/>
                <w:iCs/>
              </w:rPr>
              <w:t>.</w:t>
            </w:r>
          </w:p>
          <w:p w:rsidR="00D41F45" w:rsidRPr="00AC17BA" w:rsidRDefault="00D41F45" w:rsidP="00D41F45">
            <w:pPr>
              <w:jc w:val="both"/>
              <w:rPr>
                <w:bCs/>
                <w:iCs/>
              </w:rPr>
            </w:pPr>
            <w:r w:rsidRPr="00AC17BA">
              <w:rPr>
                <w:bCs/>
                <w:iCs/>
              </w:rPr>
              <w:t xml:space="preserve">A 2014. évhez viszonyítva a 2015. év eddig </w:t>
            </w:r>
            <w:r w:rsidR="00D21369" w:rsidRPr="00AC17BA">
              <w:rPr>
                <w:bCs/>
                <w:iCs/>
              </w:rPr>
              <w:t>eltelt,</w:t>
            </w:r>
            <w:r w:rsidR="00605B85">
              <w:rPr>
                <w:bCs/>
                <w:iCs/>
              </w:rPr>
              <w:t xml:space="preserve"> I.és II. féléves </w:t>
            </w:r>
            <w:r w:rsidRPr="00AC17BA">
              <w:rPr>
                <w:bCs/>
                <w:iCs/>
              </w:rPr>
              <w:t xml:space="preserve">beszámolási időszakában az éves prognózist figyelembe </w:t>
            </w:r>
            <w:r w:rsidR="00D21369" w:rsidRPr="00AC17BA">
              <w:rPr>
                <w:bCs/>
                <w:iCs/>
              </w:rPr>
              <w:t>véve a</w:t>
            </w:r>
            <w:r w:rsidRPr="00AC17BA">
              <w:rPr>
                <w:bCs/>
                <w:iCs/>
              </w:rPr>
              <w:t xml:space="preserve"> lezárt ügyek száma kissé megemelkedett, melynek egyik oka, hogy a </w:t>
            </w:r>
            <w:r w:rsidR="00D21369" w:rsidRPr="00AC17BA">
              <w:rPr>
                <w:bCs/>
                <w:iCs/>
              </w:rPr>
              <w:t>tavalyi év</w:t>
            </w:r>
            <w:r w:rsidRPr="00AC17BA">
              <w:rPr>
                <w:bCs/>
                <w:iCs/>
              </w:rPr>
              <w:t xml:space="preserve"> utolsó időszakában beérkezett ügyek lezárása áthúzódott erre az évre. Az előző elszámolási időszak óta új tendenciák nem jelentkeznek, az ügyek száma ezt meghaladó okok miatt igen csekély mértékben nőtt.</w:t>
            </w:r>
          </w:p>
          <w:p w:rsidR="00D41F45" w:rsidRPr="00AC17BA" w:rsidRDefault="00D41F45" w:rsidP="00D41F45">
            <w:pPr>
              <w:jc w:val="both"/>
              <w:rPr>
                <w:bCs/>
                <w:iCs/>
              </w:rPr>
            </w:pPr>
            <w:r w:rsidRPr="00AC17BA">
              <w:rPr>
                <w:bCs/>
                <w:iCs/>
              </w:rPr>
              <w:t>A 2015. év</w:t>
            </w:r>
            <w:r w:rsidR="00605B85">
              <w:rPr>
                <w:bCs/>
                <w:iCs/>
              </w:rPr>
              <w:t>ben</w:t>
            </w:r>
            <w:r w:rsidRPr="00AC17BA">
              <w:rPr>
                <w:bCs/>
                <w:iCs/>
              </w:rPr>
              <w:t xml:space="preserve"> megnövekedett a közüzemi szolgáltatással kapcsolatos ügyek száma, melynek oka részben az elszámolási jogszabályváltozás, illetve az hogy a fogyasztók az utolsó negyedévben kapták meg az elszámoló számlájukat, melyek nem egy esetben több százezer forintos utólagos befizetési kötelezettséget tartalmaztak. A fogyasztók előzetesen megpróbálták problémájukat lerendezni a szolgáltatóval, azonban miután ez nem sikerült, akkor fordultak a Békéltető Testülethez. A vállalkozás alávetéses nyilatkozata hiányában azonban a Békéltető Testület kizárólag ajánlásnak minősülő határozatot hozhatott. A közszolgáltatókra vonatkozó </w:t>
            </w:r>
            <w:r w:rsidR="00D21369" w:rsidRPr="00AC17BA">
              <w:rPr>
                <w:bCs/>
                <w:iCs/>
              </w:rPr>
              <w:t>jogszabály módosítás</w:t>
            </w:r>
            <w:r w:rsidRPr="00AC17BA">
              <w:rPr>
                <w:bCs/>
                <w:iCs/>
              </w:rPr>
              <w:t xml:space="preserve"> pozitív hatást gyakorolt, az egységes számlakép segíthet a helyzeten,és helyi önkormányzati jogalkotás is megoldást kínálhat e problémakörre.</w:t>
            </w:r>
          </w:p>
          <w:p w:rsidR="00D41F45" w:rsidRPr="00AC17BA" w:rsidRDefault="00D41F45" w:rsidP="00D41F45">
            <w:pPr>
              <w:jc w:val="both"/>
              <w:rPr>
                <w:bCs/>
                <w:iCs/>
              </w:rPr>
            </w:pPr>
            <w:r w:rsidRPr="00AC17BA">
              <w:rPr>
                <w:bCs/>
                <w:iCs/>
              </w:rPr>
              <w:t>Több esetben a parkolási felügyeletet ellátó szolgáltatóval szemben fordultak panasszal a fogyasztók, valamint az árubemutatókon árusított termékekkel kapcsolatosan for</w:t>
            </w:r>
            <w:r w:rsidR="00605B85">
              <w:rPr>
                <w:bCs/>
                <w:iCs/>
              </w:rPr>
              <w:t>dultak a Békéltető Testülethez, amely ügyek száma a II. félévben tovább nőtt, feltűnő, hogy a 14 napos rendes határidőt elmulasztó fogyasztók várják sérelmük orvosolását.</w:t>
            </w:r>
          </w:p>
          <w:p w:rsidR="00D41F45" w:rsidRPr="00AC17BA" w:rsidRDefault="00D41F45" w:rsidP="00D41F45">
            <w:pPr>
              <w:jc w:val="both"/>
              <w:rPr>
                <w:bCs/>
                <w:iCs/>
              </w:rPr>
            </w:pPr>
            <w:r w:rsidRPr="00AC17BA">
              <w:rPr>
                <w:bCs/>
                <w:iCs/>
              </w:rPr>
              <w:t xml:space="preserve">A Fogyasztóvédelmi tv. változása , a fogyasztó fogalmának Fgytv. szerinti kibővítése miatt továbbra is tendencia volt a kkv-k, egyéni </w:t>
            </w:r>
            <w:r w:rsidR="00D21369" w:rsidRPr="00AC17BA">
              <w:rPr>
                <w:bCs/>
                <w:iCs/>
              </w:rPr>
              <w:t>vállalkozások,</w:t>
            </w:r>
            <w:r w:rsidRPr="00AC17BA">
              <w:rPr>
                <w:bCs/>
                <w:iCs/>
              </w:rPr>
              <w:t xml:space="preserve"> mint fogyasztók megjelenése a BT eljárásában,</w:t>
            </w:r>
            <w:r w:rsidR="00605B85">
              <w:rPr>
                <w:bCs/>
                <w:iCs/>
              </w:rPr>
              <w:t xml:space="preserve"> </w:t>
            </w:r>
            <w:r w:rsidRPr="00AC17BA">
              <w:rPr>
                <w:bCs/>
                <w:iCs/>
              </w:rPr>
              <w:t xml:space="preserve">amelyek jogalanyisága az új Ptk kötelező alkalmazása miatt a 2. Negyedévtől kezdődően </w:t>
            </w:r>
            <w:r w:rsidR="00605B85">
              <w:rPr>
                <w:bCs/>
                <w:iCs/>
              </w:rPr>
              <w:t xml:space="preserve">szűk kört kivéve </w:t>
            </w:r>
            <w:r w:rsidRPr="00AC17BA">
              <w:rPr>
                <w:bCs/>
                <w:iCs/>
              </w:rPr>
              <w:t>megszűnt.</w:t>
            </w:r>
          </w:p>
          <w:p w:rsidR="00D41F45" w:rsidRPr="00AC17BA" w:rsidRDefault="00D41F45" w:rsidP="00D41F45">
            <w:pPr>
              <w:jc w:val="both"/>
              <w:rPr>
                <w:bCs/>
                <w:iCs/>
              </w:rPr>
            </w:pPr>
          </w:p>
          <w:p w:rsidR="00D41F45" w:rsidRPr="00AC17BA" w:rsidRDefault="00D41F45" w:rsidP="00D41F45">
            <w:pPr>
              <w:jc w:val="both"/>
              <w:rPr>
                <w:bCs/>
                <w:iCs/>
              </w:rPr>
            </w:pPr>
            <w:r w:rsidRPr="00AC17BA">
              <w:rPr>
                <w:bCs/>
                <w:iCs/>
              </w:rPr>
              <w:t xml:space="preserve">Az üzleten kívül kötött szerződésekkel kapcsolatosan érkezett több panasz. A régi jogszabály szerinti 8 napon belüli szerződéstől való elállás nem életszerű azokban az esetekben, ahol a fogyasztók olyan terméket vásárolnak, melyektől egészségügyi problémájuk javulását várják, és azt az eladók az árubemutatókon ígérik. Ezen bemutatókon a </w:t>
            </w:r>
            <w:r w:rsidR="00D21369" w:rsidRPr="00AC17BA">
              <w:rPr>
                <w:bCs/>
                <w:iCs/>
              </w:rPr>
              <w:t>fogyasztóknak kb.</w:t>
            </w:r>
            <w:r w:rsidRPr="00AC17BA">
              <w:rPr>
                <w:bCs/>
                <w:iCs/>
              </w:rPr>
              <w:t xml:space="preserve"> 6 hónappal későbbi javulást ígérnek, mely a Békéltető Testület rendelkezésére álló adatok alapján nem következik be. Ezekben az esetekben a fogyasztók nem egy esetben közel fél millió forintos, </w:t>
            </w:r>
            <w:r w:rsidR="00D21369" w:rsidRPr="00AC17BA">
              <w:rPr>
                <w:bCs/>
                <w:iCs/>
              </w:rPr>
              <w:t>vagy magasabb</w:t>
            </w:r>
            <w:r w:rsidRPr="00AC17BA">
              <w:rPr>
                <w:bCs/>
                <w:iCs/>
              </w:rPr>
              <w:t xml:space="preserve"> kifizetés mellett nem tapasztalnak javulást. Többször előfordul, hogy </w:t>
            </w:r>
            <w:r w:rsidR="00D21369" w:rsidRPr="00AC17BA">
              <w:rPr>
                <w:bCs/>
                <w:iCs/>
              </w:rPr>
              <w:t>e</w:t>
            </w:r>
            <w:r w:rsidRPr="00AC17BA">
              <w:rPr>
                <w:bCs/>
                <w:iCs/>
              </w:rPr>
              <w:t xml:space="preserve"> termékek vásárlásakor hitel felvételére is sor kerül, </w:t>
            </w:r>
            <w:r w:rsidR="00D21369" w:rsidRPr="00AC17BA">
              <w:rPr>
                <w:bCs/>
                <w:iCs/>
              </w:rPr>
              <w:t>mellyel a</w:t>
            </w:r>
            <w:r w:rsidRPr="00AC17BA">
              <w:rPr>
                <w:bCs/>
                <w:iCs/>
              </w:rPr>
              <w:t xml:space="preserve"> kifizetett összeg közel a duplájára emelkedik. a banki hitel jogi sorsának rendezése több éves bizonytalanság után megtörtént a jogszabályban.</w:t>
            </w:r>
          </w:p>
          <w:p w:rsidR="00D41F45" w:rsidRPr="00D21369" w:rsidRDefault="00D41F45" w:rsidP="00D41F45">
            <w:pPr>
              <w:jc w:val="both"/>
              <w:rPr>
                <w:bCs/>
                <w:iCs/>
                <w:sz w:val="20"/>
                <w:szCs w:val="20"/>
                <w:highlight w:val="lightGray"/>
              </w:rPr>
            </w:pPr>
            <w:r w:rsidRPr="00D21369">
              <w:rPr>
                <w:bCs/>
                <w:iCs/>
                <w:sz w:val="20"/>
                <w:szCs w:val="20"/>
              </w:rPr>
              <w:t xml:space="preserve">Megítélésünk szerint az előző évekhez képest az üzleten kívül megkötött szerződések száma nem csökken, az internetes kereskedelem elfogadottsága nő, így </w:t>
            </w:r>
            <w:r w:rsidR="00D21369" w:rsidRPr="00D21369">
              <w:rPr>
                <w:bCs/>
                <w:iCs/>
                <w:sz w:val="20"/>
                <w:szCs w:val="20"/>
              </w:rPr>
              <w:t>e</w:t>
            </w:r>
            <w:r w:rsidRPr="00D21369">
              <w:rPr>
                <w:bCs/>
                <w:iCs/>
                <w:sz w:val="20"/>
                <w:szCs w:val="20"/>
              </w:rPr>
              <w:t xml:space="preserve"> panaszok száma is emelkedett. A Békéltető Testület nyilatkozattételre való felhívása után ezen termékbem</w:t>
            </w:r>
            <w:r w:rsidR="00D21369" w:rsidRPr="00D21369">
              <w:rPr>
                <w:bCs/>
                <w:iCs/>
                <w:sz w:val="20"/>
                <w:szCs w:val="20"/>
              </w:rPr>
              <w:t>utatókat szervező</w:t>
            </w:r>
            <w:r w:rsidRPr="00D21369">
              <w:rPr>
                <w:bCs/>
                <w:iCs/>
                <w:sz w:val="20"/>
                <w:szCs w:val="20"/>
              </w:rPr>
              <w:t xml:space="preserve"> nagy többsége ismeretlen helyre költözik, valamint a testület értesítése „nem kereste” jelzővel érkezik vissza, azaz a fogyasztói panaszt semmibe veszik. Ezen eljárásfajta az utolsó elszámolási időszakban is markánsan jelen van, ahogyan az internetes kereskedelem jogvitái is.</w:t>
            </w:r>
          </w:p>
          <w:p w:rsidR="00D41F45" w:rsidRDefault="00D41F45" w:rsidP="00D41F45">
            <w:pPr>
              <w:jc w:val="both"/>
              <w:rPr>
                <w:bCs/>
                <w:iCs/>
              </w:rPr>
            </w:pPr>
            <w:r w:rsidRPr="00D21369">
              <w:rPr>
                <w:bCs/>
                <w:iCs/>
                <w:sz w:val="20"/>
                <w:szCs w:val="20"/>
              </w:rPr>
              <w:t>A fogyasztók széles körét érintő új percsoport a parkolási társaságokkal szemben benyújtott panaszok köre. Itt komoly problémát okoz az a körülmény, hogy az egyes Önkormányzatok</w:t>
            </w:r>
            <w:r w:rsidRPr="00AC17BA">
              <w:rPr>
                <w:bCs/>
                <w:iCs/>
              </w:rPr>
              <w:t xml:space="preserve"> és az</w:t>
            </w:r>
            <w:r w:rsidR="00D21369">
              <w:rPr>
                <w:bCs/>
                <w:iCs/>
              </w:rPr>
              <w:t xml:space="preserve"> </w:t>
            </w:r>
            <w:r w:rsidRPr="00AC17BA">
              <w:rPr>
                <w:bCs/>
                <w:iCs/>
              </w:rPr>
              <w:t>általuk alapított társaságok működési normái helyileg igencsak eltérnek.</w:t>
            </w:r>
          </w:p>
          <w:p w:rsidR="00D41F45" w:rsidRDefault="00D41F45" w:rsidP="00D41F45">
            <w:pPr>
              <w:jc w:val="both"/>
              <w:rPr>
                <w:bCs/>
                <w:iCs/>
              </w:rPr>
            </w:pPr>
          </w:p>
          <w:p w:rsidR="00D41F45" w:rsidRDefault="00D41F45" w:rsidP="00D41F45">
            <w:pPr>
              <w:jc w:val="both"/>
              <w:rPr>
                <w:bCs/>
                <w:iCs/>
              </w:rPr>
            </w:pPr>
          </w:p>
          <w:p w:rsidR="00D41F45" w:rsidRDefault="00D41F45" w:rsidP="00D41F45">
            <w:pPr>
              <w:jc w:val="both"/>
              <w:rPr>
                <w:bCs/>
                <w:iCs/>
              </w:rPr>
            </w:pPr>
          </w:p>
          <w:p w:rsidR="00D41F45" w:rsidRPr="00AC17BA" w:rsidRDefault="00D41F45" w:rsidP="00D41F45">
            <w:pPr>
              <w:jc w:val="both"/>
              <w:rPr>
                <w:bCs/>
                <w:iCs/>
              </w:rPr>
            </w:pPr>
          </w:p>
          <w:p w:rsidR="00D41F45" w:rsidRDefault="00D41F45" w:rsidP="00B63C7C">
            <w:pPr>
              <w:spacing w:line="360" w:lineRule="auto"/>
              <w:ind w:left="567"/>
              <w:jc w:val="both"/>
              <w:rPr>
                <w:bCs/>
                <w:iCs/>
              </w:rPr>
            </w:pPr>
          </w:p>
          <w:p w:rsidR="00D41F45" w:rsidRPr="00AC17BA" w:rsidRDefault="00D41F45" w:rsidP="00D41F45">
            <w:pPr>
              <w:jc w:val="both"/>
              <w:rPr>
                <w:bCs/>
                <w:iCs/>
              </w:rPr>
            </w:pPr>
            <w:r w:rsidRPr="00AC17BA">
              <w:rPr>
                <w:bCs/>
                <w:iCs/>
              </w:rPr>
              <w:t>Az előző évekhez viszonyítva nem csökkent az ajánlások száma és aránya, továbbra is ritkaság számba megy azon vállalkozások köre, akik kötelezésként fogadják el a Békéltető Testület határozatát.</w:t>
            </w:r>
          </w:p>
          <w:p w:rsidR="00D41F45" w:rsidRPr="00AC17BA" w:rsidRDefault="00D41F45" w:rsidP="00D41F45">
            <w:pPr>
              <w:jc w:val="both"/>
              <w:rPr>
                <w:bCs/>
                <w:iCs/>
              </w:rPr>
            </w:pPr>
            <w:r w:rsidRPr="00AC17BA">
              <w:rPr>
                <w:bCs/>
                <w:iCs/>
              </w:rPr>
              <w:t xml:space="preserve">A fogyasztói panaszok nagyobb részben megalapozottak,csak kisebb részük megalapozatlan. </w:t>
            </w:r>
          </w:p>
          <w:p w:rsidR="00D41F45" w:rsidRPr="00AC17BA" w:rsidRDefault="00D41F45" w:rsidP="00D41F45">
            <w:pPr>
              <w:jc w:val="both"/>
              <w:rPr>
                <w:bCs/>
                <w:iCs/>
              </w:rPr>
            </w:pPr>
          </w:p>
          <w:p w:rsidR="00D41F45" w:rsidRPr="006B4DD5" w:rsidRDefault="00D41F45" w:rsidP="00B63C7C">
            <w:pPr>
              <w:spacing w:line="360" w:lineRule="auto"/>
              <w:ind w:left="567"/>
              <w:jc w:val="both"/>
              <w:rPr>
                <w:bCs/>
                <w:iCs/>
              </w:rPr>
            </w:pPr>
          </w:p>
          <w:p w:rsidR="00EA7935" w:rsidRPr="006B4DD5" w:rsidRDefault="00EA7935" w:rsidP="00B63C7C">
            <w:pPr>
              <w:spacing w:line="360" w:lineRule="auto"/>
              <w:ind w:left="567"/>
              <w:jc w:val="both"/>
              <w:rPr>
                <w:bCs/>
                <w:iCs/>
              </w:rPr>
            </w:pPr>
            <w:r w:rsidRPr="006B4DD5">
              <w:rPr>
                <w:bCs/>
                <w:iCs/>
              </w:rPr>
              <w:t>2.2. Az ügyek tárgya szerint, hogyan alakult az alapos és alaptalan kérelmek aránya, az eljárások milyen eredményre vezettek, (megszűnés, egyezség, ajánlás, kötelezés aránya) a jogviták megelőzése, ill. eredményesebb befejezése érdekében mit célszerű kommunikálni a fogyasztók, illetve a vállalkozások felé.</w:t>
            </w:r>
          </w:p>
        </w:tc>
      </w:tr>
      <w:tr w:rsidR="00EA7935" w:rsidRPr="006B4DD5" w:rsidTr="0099458B">
        <w:trPr>
          <w:cantSplit/>
          <w:trHeight w:val="405"/>
        </w:trPr>
        <w:tc>
          <w:tcPr>
            <w:tcW w:w="9640" w:type="dxa"/>
            <w:gridSpan w:val="2"/>
          </w:tcPr>
          <w:p w:rsidR="00D41F45" w:rsidRPr="00E20CDE" w:rsidRDefault="00D41F45" w:rsidP="00D41F45">
            <w:pPr>
              <w:jc w:val="both"/>
              <w:rPr>
                <w:b/>
                <w:bCs/>
                <w:i/>
                <w:iCs/>
              </w:rPr>
            </w:pPr>
            <w:r w:rsidRPr="00E20CDE">
              <w:rPr>
                <w:b/>
                <w:bCs/>
                <w:i/>
                <w:iCs/>
              </w:rPr>
              <w:lastRenderedPageBreak/>
              <w:t>2.2. Az ügyek tárgya szerint, hogyan alakult az alapos és alaptalan kérelmek aránya, az eljárások milyen eredményre vezettek, (megszűnés, egyezség, ajánlás, kötelezés aránya) a jogviták megelőzése, ill. eredményesebb befejezése érdekében mit célszerű kommunikálni a fogyasztók, illetve a vállalkozások felé</w:t>
            </w:r>
          </w:p>
          <w:p w:rsidR="00D41F45" w:rsidRPr="00AC17BA" w:rsidRDefault="00D41F45" w:rsidP="00D41F45">
            <w:pPr>
              <w:spacing w:line="360" w:lineRule="auto"/>
              <w:jc w:val="both"/>
              <w:rPr>
                <w:bCs/>
                <w:iCs/>
              </w:rPr>
            </w:pPr>
            <w:r w:rsidRPr="00AC17BA">
              <w:rPr>
                <w:bCs/>
                <w:iCs/>
              </w:rPr>
              <w:t>A kért adatokat a statisztikai táblázatok tartalmazzák.</w:t>
            </w:r>
          </w:p>
          <w:p w:rsidR="00D41F45" w:rsidRPr="00AC17BA" w:rsidRDefault="00D41F45" w:rsidP="00D41F45">
            <w:pPr>
              <w:jc w:val="both"/>
              <w:rPr>
                <w:bCs/>
                <w:iCs/>
              </w:rPr>
            </w:pPr>
            <w:r w:rsidRPr="00AC17BA">
              <w:rPr>
                <w:bCs/>
                <w:iCs/>
              </w:rPr>
              <w:t xml:space="preserve">A kommunikáció vonatkozásában érdemes lenne nyomatékosan felhívni a figyelmet a vállalkozói szerződések megkötésére, az üzleten kívül </w:t>
            </w:r>
            <w:r w:rsidR="00605B85">
              <w:rPr>
                <w:bCs/>
                <w:iCs/>
              </w:rPr>
              <w:t>kötött szerződések esetében a 14</w:t>
            </w:r>
            <w:r w:rsidRPr="00AC17BA">
              <w:rPr>
                <w:bCs/>
                <w:iCs/>
              </w:rPr>
              <w:t xml:space="preserve"> napon belüli szerződéstől való elállás lehetőségére, illetve az abszolút határidő bev</w:t>
            </w:r>
            <w:r w:rsidR="00605B85">
              <w:rPr>
                <w:bCs/>
                <w:iCs/>
              </w:rPr>
              <w:t>ezetésére is, mert ezek új szabályozása egyik fél számára</w:t>
            </w:r>
            <w:r w:rsidRPr="00AC17BA">
              <w:rPr>
                <w:bCs/>
                <w:iCs/>
              </w:rPr>
              <w:t xml:space="preserve"> sem</w:t>
            </w:r>
            <w:r w:rsidR="00605B85">
              <w:rPr>
                <w:bCs/>
                <w:iCs/>
              </w:rPr>
              <w:t xml:space="preserve"> </w:t>
            </w:r>
            <w:r w:rsidRPr="00AC17BA">
              <w:rPr>
                <w:bCs/>
                <w:iCs/>
              </w:rPr>
              <w:t>ismert kellő mértékben..</w:t>
            </w:r>
          </w:p>
          <w:p w:rsidR="00D41F45" w:rsidRPr="00AC17BA" w:rsidRDefault="00D41F45" w:rsidP="00D41F45">
            <w:pPr>
              <w:jc w:val="both"/>
              <w:rPr>
                <w:bCs/>
                <w:iCs/>
              </w:rPr>
            </w:pPr>
            <w:r w:rsidRPr="00AC17BA">
              <w:rPr>
                <w:bCs/>
                <w:iCs/>
              </w:rPr>
              <w:t>Célszerű lenne kiemelni az általános alávetés lehetőségét, mivel én még ilyet a helyi praxisban nem tapasztaltam.</w:t>
            </w:r>
          </w:p>
          <w:p w:rsidR="00D41F45" w:rsidRDefault="00D41F45" w:rsidP="00D41F45">
            <w:pPr>
              <w:spacing w:line="360" w:lineRule="auto"/>
              <w:jc w:val="both"/>
              <w:rPr>
                <w:bCs/>
                <w:iCs/>
              </w:rPr>
            </w:pPr>
          </w:p>
          <w:p w:rsidR="00EA7935" w:rsidRPr="006B4DD5" w:rsidRDefault="00EA7935" w:rsidP="00B63C7C">
            <w:pPr>
              <w:spacing w:line="360" w:lineRule="auto"/>
              <w:ind w:left="567"/>
              <w:jc w:val="both"/>
              <w:rPr>
                <w:bCs/>
                <w:iCs/>
              </w:rPr>
            </w:pPr>
            <w:r w:rsidRPr="00E20CDE">
              <w:rPr>
                <w:b/>
                <w:bCs/>
                <w:i/>
                <w:iCs/>
              </w:rPr>
              <w:t>2.3.Ismertesse az egyezséget, illetve kötelezést segítő, akadályozó tényezőket, a fogyasztói visszajelzések arányát a határozatokban, ajánlásokban foglaltak betartásának alakulását, stb</w:t>
            </w:r>
            <w:r w:rsidRPr="006B4DD5">
              <w:rPr>
                <w:bCs/>
                <w:iCs/>
              </w:rPr>
              <w:t>.)</w:t>
            </w:r>
          </w:p>
          <w:p w:rsidR="00F61370" w:rsidRPr="00AC17BA" w:rsidRDefault="00F61370" w:rsidP="00F61370">
            <w:pPr>
              <w:jc w:val="both"/>
              <w:rPr>
                <w:bCs/>
                <w:iCs/>
              </w:rPr>
            </w:pPr>
            <w:r w:rsidRPr="00AC17BA">
              <w:rPr>
                <w:bCs/>
                <w:iCs/>
              </w:rPr>
              <w:t xml:space="preserve">Álláspontom szerint az egyezséget akadályozó tényező leginkább az emberek – beleértve a vállalkozások jogi képviselőit is - mentalitásában keresendő. Akár a legcsekélyebb értékű panasszal fordulnak a Békéltető Testülethez, abban az esetben is ragaszkodnak a saját igazukhoz. </w:t>
            </w:r>
          </w:p>
          <w:p w:rsidR="00F61370" w:rsidRPr="00AC17BA" w:rsidRDefault="00F61370" w:rsidP="00F61370">
            <w:pPr>
              <w:jc w:val="both"/>
              <w:rPr>
                <w:bCs/>
                <w:iCs/>
              </w:rPr>
            </w:pPr>
            <w:r w:rsidRPr="00AC17BA">
              <w:rPr>
                <w:bCs/>
                <w:iCs/>
              </w:rPr>
              <w:t>Fogyasztói visszajelzésként nagy többségben továbbra is a vállalkozások elutasító magatartása jellemző, csekély esetben tartják be az ajánlásban foglaltaknak. Erre vonatkozó statisztikát nem vezetünk. A kötelező fogyasztói visszajelzés általánossá válása és legalább 2 év eltelte után e körben még nem lehet értékelhető megállapításokat tenni. Igen ritka a fogyasztói bejelentés az ajánlás teljesítésének elmaradásáról.</w:t>
            </w:r>
          </w:p>
          <w:p w:rsidR="00F61370" w:rsidRDefault="00F61370" w:rsidP="003E4F28">
            <w:pPr>
              <w:spacing w:line="360" w:lineRule="auto"/>
              <w:ind w:left="567"/>
              <w:jc w:val="both"/>
              <w:rPr>
                <w:bCs/>
                <w:iCs/>
              </w:rPr>
            </w:pPr>
            <w:r w:rsidRPr="00AC17BA">
              <w:rPr>
                <w:bCs/>
                <w:iCs/>
              </w:rPr>
              <w:t>Az iratmintáinkat a hatékonyabb fogyasztói visszajelzések elérése érdekében módosítottuk, új elemekkel bővítettük</w:t>
            </w:r>
          </w:p>
          <w:p w:rsidR="00F61370" w:rsidRDefault="00F61370" w:rsidP="003E4F28">
            <w:pPr>
              <w:spacing w:line="360" w:lineRule="auto"/>
              <w:jc w:val="both"/>
              <w:rPr>
                <w:bCs/>
                <w:iCs/>
              </w:rPr>
            </w:pPr>
          </w:p>
          <w:p w:rsidR="00EA7935" w:rsidRPr="00E20CDE" w:rsidRDefault="00EA7935" w:rsidP="00B63C7C">
            <w:pPr>
              <w:spacing w:line="360" w:lineRule="auto"/>
              <w:ind w:left="567"/>
              <w:jc w:val="both"/>
              <w:rPr>
                <w:b/>
                <w:bCs/>
                <w:i/>
                <w:iCs/>
              </w:rPr>
            </w:pPr>
            <w:r w:rsidRPr="00E20CDE">
              <w:rPr>
                <w:b/>
                <w:bCs/>
                <w:i/>
                <w:iCs/>
              </w:rPr>
              <w:t>2.4. Ismertesse a kérelem meghallgatás kitűzése nélküli elutasításának hátterében álló okokat, és ezek testületnél előforduló arányát.</w:t>
            </w:r>
          </w:p>
          <w:p w:rsidR="003E4F28" w:rsidRDefault="003E4F28" w:rsidP="003E4F28">
            <w:pPr>
              <w:spacing w:line="360" w:lineRule="auto"/>
              <w:ind w:left="567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A kért adatokat a statisztikai adatlapok tartalmazzák.</w:t>
            </w:r>
          </w:p>
          <w:p w:rsidR="003E4F28" w:rsidRDefault="003E4F28" w:rsidP="00605B85">
            <w:pPr>
              <w:spacing w:line="360" w:lineRule="auto"/>
              <w:ind w:left="567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A megszüntetés a hiánypótlás elmaradása miatt történik ezekben az esetekben, igen ritka a felszámolási eljárás miatti megszüntetési ok.</w:t>
            </w:r>
          </w:p>
          <w:p w:rsidR="003E4F28" w:rsidRPr="006B4DD5" w:rsidRDefault="003E4F28" w:rsidP="00B63C7C">
            <w:pPr>
              <w:spacing w:line="360" w:lineRule="auto"/>
              <w:ind w:left="567"/>
              <w:jc w:val="both"/>
              <w:rPr>
                <w:bCs/>
                <w:iCs/>
              </w:rPr>
            </w:pPr>
          </w:p>
          <w:p w:rsidR="00EA7935" w:rsidRPr="00E20CDE" w:rsidRDefault="00EA7935" w:rsidP="00B63C7C">
            <w:pPr>
              <w:spacing w:line="360" w:lineRule="auto"/>
              <w:ind w:left="567"/>
              <w:jc w:val="both"/>
              <w:rPr>
                <w:b/>
                <w:bCs/>
                <w:i/>
                <w:iCs/>
              </w:rPr>
            </w:pPr>
            <w:r w:rsidRPr="00E20CDE">
              <w:rPr>
                <w:b/>
                <w:bCs/>
                <w:i/>
                <w:iCs/>
              </w:rPr>
              <w:t>2.5. Részletezze az eljárást megszüntető döntések okait, és mutassa be azok százalékos arányát.</w:t>
            </w:r>
          </w:p>
          <w:p w:rsidR="003E4F28" w:rsidRPr="006B4DD5" w:rsidRDefault="003E4F28" w:rsidP="003E4F28">
            <w:pPr>
              <w:spacing w:line="360" w:lineRule="auto"/>
              <w:ind w:left="567"/>
              <w:jc w:val="both"/>
              <w:rPr>
                <w:bCs/>
                <w:iCs/>
              </w:rPr>
            </w:pPr>
            <w:r w:rsidRPr="003E4F28">
              <w:rPr>
                <w:bCs/>
                <w:iCs/>
              </w:rPr>
              <w:t>A kért adatokat a statisztikai adatlapok tartalmazzák. A legtöbbször akkor szüntetjük meg az eljárást a tárgyaláson, ha a fogyasztó szabályszerű idézés ellenére nem jelenik meg,</w:t>
            </w:r>
            <w:r w:rsidR="00605B85">
              <w:rPr>
                <w:bCs/>
                <w:iCs/>
              </w:rPr>
              <w:t xml:space="preserve"> </w:t>
            </w:r>
            <w:r w:rsidRPr="003E4F28">
              <w:rPr>
                <w:bCs/>
                <w:iCs/>
              </w:rPr>
              <w:t>és előkészítő iratot nem terjeszt elő, vagy a vállalkozás igazolja a fogyasztó igényének teljesítését.</w:t>
            </w:r>
          </w:p>
          <w:p w:rsidR="003E4F28" w:rsidRDefault="00EA7935" w:rsidP="00605B85">
            <w:pPr>
              <w:spacing w:line="360" w:lineRule="auto"/>
              <w:ind w:left="567"/>
              <w:jc w:val="both"/>
              <w:rPr>
                <w:bCs/>
                <w:iCs/>
              </w:rPr>
            </w:pPr>
            <w:r w:rsidRPr="00E20CDE">
              <w:rPr>
                <w:b/>
                <w:bCs/>
                <w:i/>
                <w:iCs/>
              </w:rPr>
              <w:t>2.6. Ismertesse a fogyasztói jogviták lezárásához szükséges átlagos időtartamot</w:t>
            </w:r>
            <w:r w:rsidRPr="006B4DD5">
              <w:rPr>
                <w:bCs/>
                <w:iCs/>
              </w:rPr>
              <w:t>.</w:t>
            </w:r>
          </w:p>
          <w:p w:rsidR="003E4F28" w:rsidRPr="00AC17BA" w:rsidRDefault="003E4F28" w:rsidP="003E4F28">
            <w:pPr>
              <w:spacing w:line="360" w:lineRule="auto"/>
              <w:ind w:left="567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Mintegy 90 napon belül befejezzük az ügyeket.</w:t>
            </w:r>
          </w:p>
          <w:p w:rsidR="00EA7935" w:rsidRPr="006B4DD5" w:rsidRDefault="00EA7935" w:rsidP="00B63C7C">
            <w:pPr>
              <w:spacing w:line="360" w:lineRule="auto"/>
              <w:ind w:left="567"/>
              <w:jc w:val="both"/>
              <w:rPr>
                <w:bCs/>
                <w:iCs/>
              </w:rPr>
            </w:pPr>
            <w:r w:rsidRPr="00E20CDE">
              <w:rPr>
                <w:b/>
                <w:bCs/>
                <w:i/>
                <w:iCs/>
              </w:rPr>
              <w:t>2.7. Ismertesse az ajánlások, kötelezést tartalmazó határozatok, egyezséget jóváhagyó határozatok vállalkozások általi teljesítésére vonatkozó adatokat, amennyiben ismeretesek a testület előtt</w:t>
            </w:r>
            <w:r w:rsidRPr="006B4DD5">
              <w:rPr>
                <w:bCs/>
                <w:iCs/>
              </w:rPr>
              <w:t xml:space="preserve">. </w:t>
            </w:r>
          </w:p>
        </w:tc>
      </w:tr>
      <w:tr w:rsidR="00EA7935" w:rsidRPr="006B4DD5" w:rsidTr="0099458B">
        <w:trPr>
          <w:cantSplit/>
          <w:trHeight w:val="326"/>
        </w:trPr>
        <w:tc>
          <w:tcPr>
            <w:tcW w:w="9640" w:type="dxa"/>
            <w:gridSpan w:val="2"/>
            <w:shd w:val="clear" w:color="auto" w:fill="FFFFFF" w:themeFill="background1"/>
          </w:tcPr>
          <w:p w:rsidR="003E4F28" w:rsidRDefault="003E4F28" w:rsidP="00B63C7C">
            <w:pPr>
              <w:spacing w:line="360" w:lineRule="auto"/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Ilyen statisztikát nem vezetünk, a fogyasztók az esetek kb 10 %-ban jelentik be a teljesítés elmaradását.</w:t>
            </w:r>
          </w:p>
          <w:p w:rsidR="0009393F" w:rsidRDefault="0009393F" w:rsidP="00B63C7C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Helytelennek tartom azon békéltető testületi álláspontot, amely a fogyasztó jelzésének hiányában az ajánlást teljesítettnek tartja nyilván. Ez hamis következtetésekhez vezet helyi és országos szinten is.</w:t>
            </w:r>
          </w:p>
          <w:p w:rsidR="00EA7935" w:rsidRPr="00E20CDE" w:rsidRDefault="00EA7935" w:rsidP="00B63C7C">
            <w:pPr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E20CDE">
              <w:rPr>
                <w:b/>
                <w:bCs/>
                <w:i/>
                <w:iCs/>
              </w:rPr>
              <w:t>3. Ismertesse a fogyasztói jogviták intézésével összefüggő lényegesnek tartott tapasztalatokat! (pl.: Tudják-e tartani az eljárási határidőket, mennyi az átlagos ügyintézési határidő, egy testületi tag által, illetve írásban lefolytatott eljárások száma, értékelje a vállalkozások együttműködési készségét, alávetések alakulása, nyilvánosságra hozatal oka, száma, módja, a tanács határozata, ajánlása elleni jogorvoslatok száma, eredménye, stb.)</w:t>
            </w:r>
          </w:p>
          <w:p w:rsidR="007A60F3" w:rsidRPr="002955D5" w:rsidRDefault="007A60F3" w:rsidP="007A60F3">
            <w:pPr>
              <w:ind w:right="-1"/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Az eljárási határidőket tudjuk tartani, de csak úgy, hogy gyakran alkalmazzuk a határidő elnöki meghosszabbításának intézményét. Az átlagos ügyintézési határidő mintegy 90 nap.</w:t>
            </w:r>
          </w:p>
          <w:p w:rsidR="007A60F3" w:rsidRPr="002955D5" w:rsidRDefault="007A60F3" w:rsidP="007A60F3">
            <w:pPr>
              <w:ind w:right="-1"/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Testületi tagjaink közül mintegy 10 fő az, aki rendszeresen szerepel az eljáró tanácsokban, heti gyakorisággal. Ők speciális szakértelemmel rendelkeznek, a többi tagunk évi 3- 4 alkalommal vesznek részt a tárgyalá</w:t>
            </w:r>
            <w:r>
              <w:rPr>
                <w:bCs/>
                <w:iCs/>
              </w:rPr>
              <w:t>sokon. Az elnök, elnökhelyettes</w:t>
            </w:r>
            <w:r w:rsidRPr="002955D5">
              <w:rPr>
                <w:bCs/>
                <w:iCs/>
              </w:rPr>
              <w:t xml:space="preserve"> részesül rendszeres díjazásban, természetesen továbbra is ők kerülnek beosztásra jelölés hiányában költségkímélési okokból is az eljáró tanácsba. Igyekezünk az egyesbíró intézményét fokozottan alkalmazni.</w:t>
            </w:r>
            <w:r w:rsidR="00D21369">
              <w:rPr>
                <w:bCs/>
                <w:iCs/>
              </w:rPr>
              <w:t xml:space="preserve"> </w:t>
            </w:r>
            <w:r w:rsidRPr="002955D5">
              <w:rPr>
                <w:bCs/>
                <w:iCs/>
              </w:rPr>
              <w:t>A tárgyaláson kívüli ügyintézést a felek nem kérik, csaknem minden esetben tárgyalunk a hiánypótlás teljesítése esetén.</w:t>
            </w:r>
          </w:p>
          <w:p w:rsidR="007A60F3" w:rsidRPr="002955D5" w:rsidRDefault="007A60F3" w:rsidP="007A60F3">
            <w:pPr>
              <w:ind w:right="-1"/>
              <w:jc w:val="both"/>
              <w:rPr>
                <w:bCs/>
                <w:iCs/>
              </w:rPr>
            </w:pPr>
          </w:p>
          <w:p w:rsidR="007A60F3" w:rsidRPr="002955D5" w:rsidRDefault="007A60F3" w:rsidP="007A60F3">
            <w:pPr>
              <w:ind w:right="-1"/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 xml:space="preserve">Az eljárási határidők betartása több alkalommal nehézségekbe ütközik, ennek oka lehet még az ügyek bonyolultsága, az ügyfelek elkésett nyilatkozata, illetve a nyári szabadságolás ténye. A BT adminisztrációja és a tanácsok megalakítása megfelelő e körben. </w:t>
            </w:r>
          </w:p>
          <w:p w:rsidR="007A60F3" w:rsidRPr="002955D5" w:rsidRDefault="007A60F3" w:rsidP="007A60F3">
            <w:pPr>
              <w:ind w:right="-1"/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Írásban lefolytatott ügye nem volt a testületnek, a mi gyakorlatunk szerint ragaszkodunk az egyes testületi tag, vagy a tanács eljárásához, a fogyasztók ezt igénylik.</w:t>
            </w:r>
          </w:p>
          <w:p w:rsidR="007A60F3" w:rsidRPr="002955D5" w:rsidRDefault="007A60F3" w:rsidP="007A60F3">
            <w:pPr>
              <w:ind w:right="-1"/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A költségvetési korlátok miatt egyre több ügyben kényszerül a Békéltető Testület egyedül eljáróként tárgyalni az ügyekben. Természetesen kizárólag olyanokban, melyeknek előzetesen a megítélése egyszerűbb, és amúgy megfelel a törvényi feltételeknek.</w:t>
            </w:r>
          </w:p>
          <w:p w:rsidR="007A60F3" w:rsidRPr="002955D5" w:rsidRDefault="007A60F3" w:rsidP="007A60F3">
            <w:pPr>
              <w:ind w:right="-1"/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A fogyasztók többsége továbbra is kéri a nyilvánosságra hozatalt, ennek alakulása nem változott az előző évekhez képest, erre vonatkozólag külön statisztikát nem vezetünk.</w:t>
            </w:r>
          </w:p>
          <w:p w:rsidR="007A60F3" w:rsidRPr="002955D5" w:rsidRDefault="007A60F3" w:rsidP="007A60F3">
            <w:pPr>
              <w:ind w:right="-1"/>
              <w:jc w:val="both"/>
              <w:rPr>
                <w:bCs/>
                <w:iCs/>
              </w:rPr>
            </w:pPr>
          </w:p>
          <w:p w:rsidR="007A60F3" w:rsidRPr="002955D5" w:rsidRDefault="007A60F3" w:rsidP="007A60F3">
            <w:pPr>
              <w:ind w:right="-1"/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A kért statisztikai adatokat az ügyekre vonatkozó táblázatok és jelentések tartalmazzák.</w:t>
            </w:r>
          </w:p>
          <w:p w:rsidR="007A60F3" w:rsidRDefault="007A60F3" w:rsidP="00B63C7C">
            <w:pPr>
              <w:spacing w:line="360" w:lineRule="auto"/>
              <w:jc w:val="both"/>
              <w:rPr>
                <w:bCs/>
                <w:iCs/>
              </w:rPr>
            </w:pPr>
          </w:p>
          <w:p w:rsidR="007A60F3" w:rsidRPr="006B4DD5" w:rsidRDefault="007A60F3" w:rsidP="00B63C7C">
            <w:pPr>
              <w:spacing w:line="360" w:lineRule="auto"/>
              <w:jc w:val="both"/>
              <w:rPr>
                <w:bCs/>
                <w:iCs/>
              </w:rPr>
            </w:pPr>
          </w:p>
        </w:tc>
      </w:tr>
      <w:tr w:rsidR="00EA7935" w:rsidRPr="006B4DD5" w:rsidTr="0099458B">
        <w:trPr>
          <w:cantSplit/>
          <w:trHeight w:val="326"/>
        </w:trPr>
        <w:tc>
          <w:tcPr>
            <w:tcW w:w="9640" w:type="dxa"/>
            <w:gridSpan w:val="2"/>
            <w:shd w:val="clear" w:color="auto" w:fill="FFFFFF" w:themeFill="background1"/>
          </w:tcPr>
          <w:p w:rsidR="00EA7935" w:rsidRPr="00E20CDE" w:rsidRDefault="00EA7935" w:rsidP="00B63C7C">
            <w:pPr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E20CDE">
              <w:rPr>
                <w:b/>
                <w:bCs/>
                <w:i/>
                <w:iCs/>
              </w:rPr>
              <w:t>4. Ismertesse a testület működését segítő, illetve akadályozó körülményeket! (pl.: Személyi, tárgyi feltételek, jogszabályi környezet, finanszírozás, a kamarával való együttműködés értékelése, együttműködés más szervezetekkel, stb.)</w:t>
            </w:r>
          </w:p>
        </w:tc>
      </w:tr>
      <w:tr w:rsidR="00EA7935" w:rsidRPr="006B4DD5" w:rsidTr="0099458B">
        <w:trPr>
          <w:cantSplit/>
          <w:trHeight w:val="326"/>
        </w:trPr>
        <w:tc>
          <w:tcPr>
            <w:tcW w:w="9640" w:type="dxa"/>
            <w:gridSpan w:val="2"/>
            <w:shd w:val="clear" w:color="auto" w:fill="FFFFFF" w:themeFill="background1"/>
          </w:tcPr>
          <w:p w:rsidR="009E7EB7" w:rsidRPr="002955D5" w:rsidRDefault="009E7EB7" w:rsidP="0009393F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A Vas Megyei Kereskedelmi és Iparkamara gesztorszervezet a tárgyi feltételek biztosításán túl tevékenyen részt vett a Testület működésének propagálásában, rendszeresen lehetőséget biztosított a helyi TV-ben és a helyi sajtóban történő szereplésre. Döntéseinket a honlapon közzét</w:t>
            </w:r>
            <w:r w:rsidR="0009393F">
              <w:rPr>
                <w:bCs/>
                <w:iCs/>
              </w:rPr>
              <w:t>ette, mintegy alhonlapot biztosítva.</w:t>
            </w:r>
            <w:r w:rsidRPr="002955D5">
              <w:rPr>
                <w:bCs/>
                <w:iCs/>
              </w:rPr>
              <w:t xml:space="preserve">. </w:t>
            </w:r>
          </w:p>
          <w:p w:rsidR="009E7EB7" w:rsidRPr="002955D5" w:rsidRDefault="009E7EB7" w:rsidP="0009393F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Az ügyfélszolgálatot túlnyomórészt az Országos Fogyasztóvédelmi Egyesület helyi szerve tagjai végzik, akik egyben a Testület tagjai is. Ezt saját erőből, pénzügyi forrásokból végezték, korszerű blanketták és írásbeli előkészítő iratok felhasználásáv</w:t>
            </w:r>
            <w:r w:rsidR="0009393F">
              <w:rPr>
                <w:bCs/>
                <w:iCs/>
              </w:rPr>
              <w:t xml:space="preserve">al. Már a </w:t>
            </w:r>
            <w:r w:rsidRPr="002955D5">
              <w:rPr>
                <w:bCs/>
                <w:iCs/>
              </w:rPr>
              <w:t>2013. évtől megtörtént az ügyfélszolgálat eljárásának egységesítése, nyomtatványok bevezetése, amely igen jelentős segítséget ad az adminisztráció intézéséhez,</w:t>
            </w:r>
            <w:r w:rsidR="00D21369">
              <w:rPr>
                <w:bCs/>
                <w:iCs/>
              </w:rPr>
              <w:t xml:space="preserve"> </w:t>
            </w:r>
            <w:r w:rsidRPr="002955D5">
              <w:rPr>
                <w:bCs/>
                <w:iCs/>
              </w:rPr>
              <w:t>a szakszerű fogyasztói kérelmek elbírálásához.</w:t>
            </w:r>
          </w:p>
          <w:p w:rsidR="009E7EB7" w:rsidRPr="002955D5" w:rsidRDefault="009E7EB7" w:rsidP="0009393F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Emellett az ügyek jellegében továbbra is minőségi átalakulás következik be. Ennek következtében egyre jelentősebb a bonyolultabb, nagyobb terjedelmű bizonyítás felvételét igénylő, az elhúzódó ügyek száma.</w:t>
            </w:r>
          </w:p>
          <w:p w:rsidR="009E7EB7" w:rsidRPr="002955D5" w:rsidRDefault="009E7EB7" w:rsidP="0009393F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Továbbra is szükséges a testületek létének, munkájának központi sajtóban történő ismertetése, erre jó példa a BKIK fokozott országos szereplése</w:t>
            </w:r>
            <w:r w:rsidR="00D21369" w:rsidRPr="002955D5">
              <w:rPr>
                <w:bCs/>
                <w:iCs/>
              </w:rPr>
              <w:t>, amely</w:t>
            </w:r>
            <w:r w:rsidRPr="002955D5">
              <w:rPr>
                <w:bCs/>
                <w:iCs/>
              </w:rPr>
              <w:t xml:space="preserve"> nálunk is fejt ki pozitív hatást.</w:t>
            </w:r>
          </w:p>
          <w:p w:rsidR="009E7EB7" w:rsidRPr="002955D5" w:rsidRDefault="009E7EB7" w:rsidP="0009393F">
            <w:pPr>
              <w:jc w:val="both"/>
              <w:rPr>
                <w:bCs/>
                <w:iCs/>
              </w:rPr>
            </w:pPr>
          </w:p>
          <w:p w:rsidR="009E7EB7" w:rsidRPr="002955D5" w:rsidRDefault="009E7EB7" w:rsidP="0009393F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A költségvetési támogatás alapot teremthet az ítélkezés további anyagi feltételei biztosítására. Remélem, hogy ezen összefoglaló tájékoztatásom is hozzájárul a költségvetésben elkülönített, a Békéltető Testületek által továbbra is várva várt pénzeszközök határidőben történő rendszeres átutalásához, rendelkezésre bocsátásához. Ezzel az infrastruktúra megfelelően kialakítható, és részben megoldott a tagok díjazása is. Reméljük, a költségvetés nem rózsás helyzete ezen kiadásokat nem érinti, főleg úgy, hog</w:t>
            </w:r>
            <w:r w:rsidR="0009393F">
              <w:rPr>
                <w:bCs/>
                <w:iCs/>
              </w:rPr>
              <w:t>y</w:t>
            </w:r>
            <w:r w:rsidR="00D21369">
              <w:rPr>
                <w:bCs/>
                <w:iCs/>
              </w:rPr>
              <w:t xml:space="preserve"> </w:t>
            </w:r>
            <w:r w:rsidR="0009393F">
              <w:rPr>
                <w:bCs/>
                <w:iCs/>
              </w:rPr>
              <w:t>a  2014. n</w:t>
            </w:r>
            <w:r w:rsidRPr="002955D5">
              <w:rPr>
                <w:bCs/>
                <w:iCs/>
              </w:rPr>
              <w:t xml:space="preserve">ovemberében megtartott konferencián </w:t>
            </w:r>
            <w:r w:rsidR="0009393F">
              <w:rPr>
                <w:bCs/>
                <w:iCs/>
              </w:rPr>
              <w:t xml:space="preserve">az ágazatért  felelős miniszter, illetve 2015. őszén a fogyasztóvédelemért akkor felelős </w:t>
            </w:r>
            <w:r w:rsidR="00D21369">
              <w:rPr>
                <w:bCs/>
                <w:iCs/>
              </w:rPr>
              <w:t>államtitkár-helyettes</w:t>
            </w:r>
            <w:r w:rsidR="0009393F">
              <w:rPr>
                <w:bCs/>
                <w:iCs/>
              </w:rPr>
              <w:t xml:space="preserve"> </w:t>
            </w:r>
            <w:r w:rsidR="007066A0" w:rsidRPr="002955D5">
              <w:rPr>
                <w:bCs/>
                <w:iCs/>
              </w:rPr>
              <w:t>ígéretet</w:t>
            </w:r>
            <w:r w:rsidRPr="002955D5">
              <w:rPr>
                <w:bCs/>
                <w:iCs/>
              </w:rPr>
              <w:t xml:space="preserve"> tett a támogatás növelésére. Sajnos, azóta e körben nem látok előrelépést.</w:t>
            </w:r>
          </w:p>
          <w:p w:rsidR="009E7EB7" w:rsidRPr="002955D5" w:rsidRDefault="009E7EB7" w:rsidP="0009393F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 xml:space="preserve">Az utófinanszírozás bevezetése és a </w:t>
            </w:r>
            <w:r w:rsidR="007066A0" w:rsidRPr="002955D5">
              <w:rPr>
                <w:bCs/>
                <w:iCs/>
              </w:rPr>
              <w:t>negyedévenkénti-félévenkénti adminisztrációs-beszámolási</w:t>
            </w:r>
            <w:r w:rsidRPr="002955D5">
              <w:rPr>
                <w:bCs/>
                <w:iCs/>
              </w:rPr>
              <w:t xml:space="preserve"> kötelezettség szerintem túl nagy terhet rótt a működtető Kamarára, üdvözöljük a féléves beszámolót és az adminisztrációs terhek némi csökkenését.</w:t>
            </w:r>
          </w:p>
          <w:p w:rsidR="009E7EB7" w:rsidRPr="002955D5" w:rsidRDefault="009E7EB7" w:rsidP="0009393F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 xml:space="preserve">Noha a törvény deklarálja, továbbra is kevés részvételi szándék mutatkozik a testületi munkában az Önkormányzatok részéről, nem tekintik igazán </w:t>
            </w:r>
            <w:r w:rsidR="007066A0">
              <w:rPr>
                <w:bCs/>
                <w:iCs/>
              </w:rPr>
              <w:t xml:space="preserve">közügynek, és </w:t>
            </w:r>
            <w:r w:rsidRPr="002955D5">
              <w:rPr>
                <w:bCs/>
                <w:iCs/>
              </w:rPr>
              <w:t>önkormányzati feladatnak a fogyasztóvédelmi feladatokat és ténykedést.</w:t>
            </w:r>
          </w:p>
          <w:p w:rsidR="009E7EB7" w:rsidRPr="002955D5" w:rsidRDefault="009E7EB7" w:rsidP="0009393F">
            <w:pPr>
              <w:jc w:val="both"/>
              <w:rPr>
                <w:bCs/>
                <w:iCs/>
              </w:rPr>
            </w:pPr>
          </w:p>
          <w:p w:rsidR="009E7EB7" w:rsidRDefault="0009393F" w:rsidP="0009393F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A vállalkozások együttműködési kötelezettségének előírása igen segíti a békéltető testületek ügyét. Mi Vas megyében tucatot meghaladóan éltünk a fogyasztóvédelmi feladatokat ellátó Hatóság felé a jelzés lehetőségével, visszacsatolás még a jogintézmény friss bevezetése miatt még nem érkezett.</w:t>
            </w:r>
          </w:p>
          <w:p w:rsidR="00EA7935" w:rsidRPr="006B4DD5" w:rsidRDefault="00EA7935" w:rsidP="0009393F">
            <w:pPr>
              <w:spacing w:line="360" w:lineRule="auto"/>
              <w:jc w:val="both"/>
              <w:rPr>
                <w:bCs/>
                <w:iCs/>
              </w:rPr>
            </w:pPr>
            <w:r w:rsidRPr="00E20CDE">
              <w:rPr>
                <w:b/>
                <w:bCs/>
                <w:i/>
                <w:iCs/>
              </w:rPr>
              <w:t>5. Ismertesse a testületeket, illetve a fogyasztóvédelmet érintő esetleges jogi szabályozásra vonatkozó észrevételeit, javaslatait</w:t>
            </w:r>
            <w:r w:rsidRPr="006B4DD5">
              <w:rPr>
                <w:bCs/>
                <w:iCs/>
              </w:rPr>
              <w:t>!</w:t>
            </w:r>
          </w:p>
        </w:tc>
      </w:tr>
      <w:tr w:rsidR="00EA7935" w:rsidRPr="006B4DD5" w:rsidTr="0099458B">
        <w:trPr>
          <w:cantSplit/>
          <w:trHeight w:val="326"/>
        </w:trPr>
        <w:tc>
          <w:tcPr>
            <w:tcW w:w="9640" w:type="dxa"/>
            <w:gridSpan w:val="2"/>
            <w:shd w:val="clear" w:color="auto" w:fill="auto"/>
          </w:tcPr>
          <w:p w:rsidR="00F24BFE" w:rsidRPr="002955D5" w:rsidRDefault="00F24BFE" w:rsidP="00F24BFE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Továbbra is ismertetem vesszőparipámat:</w:t>
            </w:r>
          </w:p>
          <w:p w:rsidR="00F24BFE" w:rsidRPr="002955D5" w:rsidRDefault="00F24BFE" w:rsidP="00F24BFE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 xml:space="preserve">A pénzek elosztása mindig sarkalatos kérdés, amelynek alapja az ügyszám. Szerintem az ügyszám érdemi döntésekkel alá nem támasztott ugrásszerű növekedése egyes kamaráknál statisztikai befejezéseket takar, amelyek ugyanannyit (20-30.000 Ft ) érnek, mint az érdemi döntéssel befejezett ügyek. Ezen „csínyek” további megakadályozására kértem és továbbra is kérem egységes statisztikai alapelvek </w:t>
            </w:r>
            <w:r w:rsidR="0009393F">
              <w:rPr>
                <w:bCs/>
                <w:iCs/>
              </w:rPr>
              <w:t xml:space="preserve">– ügyrend - </w:t>
            </w:r>
            <w:r w:rsidRPr="002955D5">
              <w:rPr>
                <w:bCs/>
                <w:iCs/>
              </w:rPr>
              <w:t xml:space="preserve">felállítását, hogy </w:t>
            </w:r>
            <w:r w:rsidR="007066A0" w:rsidRPr="002955D5">
              <w:rPr>
                <w:bCs/>
                <w:iCs/>
              </w:rPr>
              <w:t>egyes,</w:t>
            </w:r>
            <w:r w:rsidRPr="002955D5">
              <w:rPr>
                <w:bCs/>
                <w:iCs/>
              </w:rPr>
              <w:t xml:space="preserve"> a többi érintett BT által ténylegesen ellenőrizhetetlen ügygyártás befejeződhessen.</w:t>
            </w:r>
          </w:p>
          <w:p w:rsidR="00F24BFE" w:rsidRPr="002955D5" w:rsidRDefault="00F24BFE" w:rsidP="00F24BFE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 xml:space="preserve">Ezen álláspontomat és javaslatomat már több fórumon kifejtettem, remélem, hogy végre megtörténnek az intézkedések az egységes Ügyviteli Szabályzat </w:t>
            </w:r>
            <w:r w:rsidR="007066A0" w:rsidRPr="002955D5">
              <w:rPr>
                <w:bCs/>
                <w:iCs/>
              </w:rPr>
              <w:t>(nem</w:t>
            </w:r>
            <w:r w:rsidRPr="002955D5">
              <w:rPr>
                <w:bCs/>
                <w:iCs/>
              </w:rPr>
              <w:t xml:space="preserve"> eljárási szabályzat!) bevezetésére.</w:t>
            </w:r>
          </w:p>
          <w:p w:rsidR="00F24BFE" w:rsidRPr="002955D5" w:rsidRDefault="00F24BFE" w:rsidP="00F24BFE">
            <w:pPr>
              <w:jc w:val="both"/>
              <w:rPr>
                <w:bCs/>
                <w:iCs/>
              </w:rPr>
            </w:pPr>
          </w:p>
          <w:p w:rsidR="00F24BFE" w:rsidRPr="002955D5" w:rsidRDefault="00F24BFE" w:rsidP="00F24BFE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 xml:space="preserve">Továbbra is akadályozza a munkát az általam már évek óta minden fórumon kifejtett problémakör, nevezetesen a jogi személyiség hiánya. Amíg önálló jogi személyiséggel nem rendelkezik a Békéltető Testület, függetlensége, különösen gazdasági függetlensége csak névleges, függ az őt működtető kamaráétól, illetve a Magyar Kereskedelmi és Iparkamaráétól. </w:t>
            </w:r>
          </w:p>
          <w:p w:rsidR="00F24BFE" w:rsidRDefault="00F24BFE" w:rsidP="00F24BFE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 xml:space="preserve">A Békéltető Testületek pénzügyi szuverenitását az MKIK és a területileg illetékes Kamara sok helyen, több megyében igyekszik megnyirbálni, ez ellen határozottan tenni kell, a működtető Kamara csupán gesztori szerepet vállal, a pénzügyek trendezésének technikai bonyolítása a feladata, ezt sok helyen nem értik. </w:t>
            </w:r>
          </w:p>
          <w:p w:rsidR="00F24BFE" w:rsidRPr="002955D5" w:rsidRDefault="00F24BFE" w:rsidP="00F24BFE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A pénzügyek vitele, a tagok kijelölése, a javaslattétel, a megbízási szerződések megkötésének joga, az Elnökhelyettes kijelölése és díjazásának megállapítása kizárólagos elnöki felelősség, ebbe senki nem szólhat bele. Sérelmezem, hogy a támogatási szerződést a BT elnöke láttamozza csak, holott jogilag szerződő félnek kell</w:t>
            </w:r>
            <w:r>
              <w:rPr>
                <w:bCs/>
                <w:iCs/>
              </w:rPr>
              <w:t>ene</w:t>
            </w:r>
            <w:r w:rsidRPr="002955D5">
              <w:rPr>
                <w:bCs/>
                <w:iCs/>
              </w:rPr>
              <w:t xml:space="preserve"> lennie. </w:t>
            </w:r>
          </w:p>
          <w:p w:rsidR="00F24BFE" w:rsidRPr="002955D5" w:rsidRDefault="00F24BFE" w:rsidP="00F24BFE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Ezen a helyzeten sürgősen változtatni kellett, hiszen a gazdasági koordináció megnehezülése mellett további jogi problémákat okozott a határozatok hatálya, illetve a Békéltető Testületek esetleges peres, perbeli jogképessége hiánya. Úgy tűnik, a jogalkotó is észlelte a problémát, a perképesség bevezetése jó kiindulópont lehet a jogi személyiség elnyeréséhez.</w:t>
            </w:r>
          </w:p>
          <w:p w:rsidR="00F24BFE" w:rsidRPr="002955D5" w:rsidRDefault="00F24BFE" w:rsidP="00F24BFE">
            <w:pPr>
              <w:jc w:val="both"/>
              <w:rPr>
                <w:bCs/>
                <w:iCs/>
              </w:rPr>
            </w:pPr>
          </w:p>
          <w:p w:rsidR="00F24BFE" w:rsidRPr="002955D5" w:rsidRDefault="00F24BFE" w:rsidP="00F24BFE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Az új jogi szabályozás megfelelő, de továbbra is hiányolom az egységes Eljárási Szabályzat és Ügyviteli Szabályzat megalkotását. A mulasztásos döntések bevezetése a kötelezés hatályával a bírósági meghagyások analógiájára is üdvözítő lenne.</w:t>
            </w:r>
          </w:p>
          <w:p w:rsidR="00F24BFE" w:rsidRPr="002955D5" w:rsidRDefault="00F24BFE" w:rsidP="00F24BFE">
            <w:pPr>
              <w:jc w:val="both"/>
              <w:rPr>
                <w:bCs/>
                <w:iCs/>
              </w:rPr>
            </w:pPr>
          </w:p>
          <w:p w:rsidR="00F24BFE" w:rsidRPr="002955D5" w:rsidRDefault="00F24BFE" w:rsidP="00F24BFE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>Súlyos problémának tartom azon</w:t>
            </w:r>
            <w:r w:rsidR="007066A0" w:rsidRPr="002955D5">
              <w:rPr>
                <w:bCs/>
                <w:iCs/>
              </w:rPr>
              <w:t>, több</w:t>
            </w:r>
            <w:r w:rsidRPr="002955D5">
              <w:rPr>
                <w:bCs/>
                <w:iCs/>
              </w:rPr>
              <w:t xml:space="preserve"> fórumon is kifejtett szakmai álláspontot, amely a kötelező jótállás jogi</w:t>
            </w:r>
            <w:r w:rsidR="0009393F">
              <w:rPr>
                <w:bCs/>
                <w:iCs/>
              </w:rPr>
              <w:t>ntézménye körében külön</w:t>
            </w:r>
            <w:r w:rsidRPr="002955D5">
              <w:rPr>
                <w:bCs/>
                <w:iCs/>
              </w:rPr>
              <w:t>bséget tesz a magánszemély fogyasztó és a gazdasági társaságok</w:t>
            </w:r>
            <w:r w:rsidR="00E20CDE" w:rsidRPr="002955D5">
              <w:rPr>
                <w:bCs/>
                <w:iCs/>
              </w:rPr>
              <w:t>, egyéb</w:t>
            </w:r>
            <w:r w:rsidRPr="002955D5">
              <w:rPr>
                <w:bCs/>
                <w:iCs/>
              </w:rPr>
              <w:t xml:space="preserve"> szervezetek általános garanciális jogosultságai és azok terjedelme körében. Rendkívül káros és a Békéltető Testületek megítélésére igen káros lenne ezen álláspont gyakorlati alkalmazása. Sürgős szakmai állásfoglalás kialakítását kérem!</w:t>
            </w:r>
          </w:p>
          <w:p w:rsidR="00F24BFE" w:rsidRDefault="00F24BFE" w:rsidP="00B63C7C">
            <w:pPr>
              <w:spacing w:line="360" w:lineRule="auto"/>
              <w:jc w:val="both"/>
              <w:rPr>
                <w:bCs/>
                <w:iCs/>
              </w:rPr>
            </w:pPr>
          </w:p>
          <w:p w:rsidR="00EA7935" w:rsidRPr="006B4DD5" w:rsidRDefault="00EA7935" w:rsidP="00B63C7C">
            <w:pPr>
              <w:spacing w:line="360" w:lineRule="auto"/>
              <w:jc w:val="both"/>
              <w:rPr>
                <w:bCs/>
                <w:iCs/>
              </w:rPr>
            </w:pPr>
            <w:r w:rsidRPr="00E20CDE">
              <w:rPr>
                <w:b/>
                <w:bCs/>
                <w:i/>
                <w:iCs/>
              </w:rPr>
              <w:t>6. Ismertesse, hogy mit tett a testület a vállalkozások együttműködési készségének fokozása érdekében, mik az ezt akadályozó körülmények, illetve az együttműködés milyen módon ösztönözhető</w:t>
            </w:r>
            <w:r w:rsidRPr="006B4DD5">
              <w:rPr>
                <w:bCs/>
                <w:iCs/>
              </w:rPr>
              <w:t xml:space="preserve">! </w:t>
            </w:r>
          </w:p>
        </w:tc>
      </w:tr>
      <w:tr w:rsidR="0099458B" w:rsidRPr="002955D5" w:rsidTr="0099458B">
        <w:trPr>
          <w:gridAfter w:val="1"/>
          <w:wAfter w:w="28" w:type="dxa"/>
          <w:cantSplit/>
          <w:trHeight w:val="326"/>
        </w:trPr>
        <w:tc>
          <w:tcPr>
            <w:tcW w:w="9612" w:type="dxa"/>
            <w:shd w:val="clear" w:color="auto" w:fill="auto"/>
          </w:tcPr>
          <w:p w:rsidR="0099458B" w:rsidRPr="002955D5" w:rsidRDefault="0099458B" w:rsidP="00F820E9">
            <w:pPr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 xml:space="preserve">A testület kizárólag verbálisan tud még hatni a vállalkozásokra abban az esetben, ha a nyilatkozattételre való felhívás után azok felveszik a kapcsolatot a Békéltető Testülettel. </w:t>
            </w:r>
          </w:p>
          <w:p w:rsidR="0099458B" w:rsidRPr="002955D5" w:rsidRDefault="0099458B" w:rsidP="00F820E9">
            <w:pPr>
              <w:jc w:val="both"/>
              <w:rPr>
                <w:bCs/>
                <w:iCs/>
              </w:rPr>
            </w:pPr>
          </w:p>
          <w:p w:rsidR="0099458B" w:rsidRDefault="0099458B" w:rsidP="00F820E9">
            <w:pPr>
              <w:spacing w:line="360" w:lineRule="auto"/>
              <w:jc w:val="both"/>
              <w:rPr>
                <w:bCs/>
                <w:iCs/>
              </w:rPr>
            </w:pPr>
            <w:r w:rsidRPr="002955D5">
              <w:rPr>
                <w:bCs/>
                <w:iCs/>
              </w:rPr>
              <w:t xml:space="preserve">Működési problémát jelent az a körülmény </w:t>
            </w:r>
            <w:r w:rsidR="00B3471B" w:rsidRPr="002955D5">
              <w:rPr>
                <w:bCs/>
                <w:iCs/>
              </w:rPr>
              <w:t>is,</w:t>
            </w:r>
            <w:r w:rsidRPr="002955D5">
              <w:rPr>
                <w:bCs/>
                <w:iCs/>
              </w:rPr>
              <w:t xml:space="preserve"> hogy a pénzintézetek, és egyéb szolgáltató szervezetek az ügyfél kifejezett, jegyzőkönyvben foglalt felmentése esetén sem adnak ki adatokat a BT számára, banktitokra, üzleti titokra és személyes adatokra történő hivatkozással. Érveik között szerepel a jkv. közokirat jellegének tagadása, amely nem helytálló szerintem, ebben egységes fellépés és állásfoglalás kialakítása szükséges, melyet a MKIK megfelelően képviselhet jogalkotói deklarálás érdekében</w:t>
            </w:r>
            <w:r w:rsidR="0009393F">
              <w:rPr>
                <w:bCs/>
                <w:iCs/>
              </w:rPr>
              <w:t>.</w:t>
            </w:r>
          </w:p>
          <w:p w:rsidR="0099458B" w:rsidRPr="002955D5" w:rsidRDefault="0009393F" w:rsidP="00F820E9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A kötelező együttműködés rendszere a pár hónapos tapasztalat alapján működik, </w:t>
            </w:r>
            <w:r w:rsidR="00B3471B">
              <w:rPr>
                <w:bCs/>
                <w:iCs/>
              </w:rPr>
              <w:t>kíváncsian</w:t>
            </w:r>
            <w:r>
              <w:rPr>
                <w:bCs/>
                <w:iCs/>
              </w:rPr>
              <w:t xml:space="preserve"> várjuk a bírságolási gyakorlat </w:t>
            </w:r>
            <w:r w:rsidR="00B3471B">
              <w:rPr>
                <w:bCs/>
                <w:iCs/>
              </w:rPr>
              <w:t>tapasztalatit</w:t>
            </w:r>
            <w:r>
              <w:rPr>
                <w:bCs/>
                <w:iCs/>
              </w:rPr>
              <w:t>.</w:t>
            </w:r>
          </w:p>
        </w:tc>
      </w:tr>
      <w:tr w:rsidR="00EA7935" w:rsidRPr="006B4DD5" w:rsidTr="0099458B">
        <w:trPr>
          <w:cantSplit/>
          <w:trHeight w:val="326"/>
        </w:trPr>
        <w:tc>
          <w:tcPr>
            <w:tcW w:w="9640" w:type="dxa"/>
            <w:gridSpan w:val="2"/>
            <w:shd w:val="clear" w:color="auto" w:fill="auto"/>
          </w:tcPr>
          <w:p w:rsidR="0099458B" w:rsidRDefault="0099458B" w:rsidP="00B63C7C">
            <w:pPr>
              <w:spacing w:line="360" w:lineRule="auto"/>
              <w:jc w:val="both"/>
              <w:rPr>
                <w:bCs/>
                <w:iCs/>
              </w:rPr>
            </w:pPr>
          </w:p>
          <w:p w:rsidR="00EA7935" w:rsidRDefault="00EA7935" w:rsidP="00B63C7C">
            <w:pPr>
              <w:spacing w:line="360" w:lineRule="auto"/>
              <w:jc w:val="both"/>
              <w:rPr>
                <w:bCs/>
                <w:iCs/>
              </w:rPr>
            </w:pPr>
            <w:r w:rsidRPr="00B3471B">
              <w:rPr>
                <w:b/>
                <w:bCs/>
                <w:i/>
                <w:iCs/>
              </w:rPr>
              <w:t>7. Mutassa be a promóciós kampányuk elemeit, azok eredményességét. Csatolja a hirdetések másolatát, és TV és rádió spot esetén CD mellékletet</w:t>
            </w:r>
            <w:r w:rsidRPr="006B4DD5">
              <w:rPr>
                <w:bCs/>
                <w:iCs/>
              </w:rPr>
              <w:t>.</w:t>
            </w:r>
          </w:p>
          <w:p w:rsidR="00775BC1" w:rsidRDefault="00775BC1" w:rsidP="00775BC1">
            <w:pPr>
              <w:spacing w:line="360" w:lineRule="auto"/>
              <w:jc w:val="both"/>
              <w:rPr>
                <w:bCs/>
                <w:iCs/>
              </w:rPr>
            </w:pPr>
            <w:r w:rsidRPr="00E20CDE">
              <w:rPr>
                <w:bCs/>
                <w:iCs/>
              </w:rPr>
              <w:t>A beszámolási időszakban a Vas Népe megyei napilap é</w:t>
            </w:r>
            <w:r>
              <w:rPr>
                <w:bCs/>
                <w:iCs/>
              </w:rPr>
              <w:t xml:space="preserve">s </w:t>
            </w:r>
            <w:r w:rsidRPr="00E20CDE">
              <w:rPr>
                <w:bCs/>
                <w:iCs/>
              </w:rPr>
              <w:t>a szombathelyi székhelyű Nyugat Rádióval működtünk együtt.</w:t>
            </w:r>
          </w:p>
          <w:p w:rsidR="00775BC1" w:rsidRDefault="00775BC1" w:rsidP="00775BC1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A Vas Népében 5 alkalommal tettünk közzé hirdetést, amelyekben egy-egy konkrét jogvita bemutatásával tettük szemléletesebbé a békéltető testület tevékenységét.</w:t>
            </w:r>
          </w:p>
          <w:p w:rsidR="00775BC1" w:rsidRDefault="00775BC1" w:rsidP="00775BC1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A hirdetések konkrét szövegét külön fájlban csatoljuk </w:t>
            </w:r>
          </w:p>
          <w:p w:rsidR="00775BC1" w:rsidRDefault="00775BC1" w:rsidP="00775BC1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A Nyugat Rádió az általunk </w:t>
            </w:r>
            <w:r w:rsidR="00667B34">
              <w:rPr>
                <w:bCs/>
                <w:iCs/>
              </w:rPr>
              <w:t>megadott szövegből</w:t>
            </w:r>
            <w:r>
              <w:rPr>
                <w:bCs/>
                <w:iCs/>
              </w:rPr>
              <w:t xml:space="preserve"> </w:t>
            </w:r>
            <w:r w:rsidR="00667B34">
              <w:rPr>
                <w:bCs/>
                <w:iCs/>
              </w:rPr>
              <w:t>4</w:t>
            </w:r>
            <w:r>
              <w:rPr>
                <w:bCs/>
                <w:iCs/>
              </w:rPr>
              <w:t xml:space="preserve"> különböző tartalmú rádióspotot szerkesztett</w:t>
            </w:r>
            <w:r w:rsidR="00FB6EFC">
              <w:rPr>
                <w:bCs/>
                <w:iCs/>
              </w:rPr>
              <w:t xml:space="preserve"> az alábbi szerződéskivonattal egyezően:</w:t>
            </w:r>
          </w:p>
          <w:p w:rsidR="00FB6EFC" w:rsidRDefault="00FB6EFC" w:rsidP="00FB6EFC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t>„</w:t>
            </w:r>
            <w:r w:rsidRPr="00FB6EFC">
              <w:rPr>
                <w:i/>
                <w:sz w:val="23"/>
                <w:szCs w:val="23"/>
              </w:rPr>
              <w:t>Az 1.675 másodperc 56 darab 30 másodperces társadalmi célú reklámspotra oszlik, melyeket 2015. augusztus 18. és 2016. január 17. között havonta 10 alkalommal sugároz a Médiaszolgáltató. Emellett a Műsorszolgáltató egy 10 perces élő stúdióbeszélgetést is biztosít a Megbízó részére, melynek időpontját előre leegyeztetik a Felek</w:t>
            </w:r>
            <w:r>
              <w:rPr>
                <w:sz w:val="23"/>
                <w:szCs w:val="23"/>
              </w:rPr>
              <w:t>”</w:t>
            </w:r>
          </w:p>
          <w:p w:rsidR="00667B34" w:rsidRDefault="00667B34" w:rsidP="00FB6EFC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rádióspotok sugárzása az előre egyeztetett műsorterv alapján történt.</w:t>
            </w:r>
          </w:p>
          <w:p w:rsidR="00667B34" w:rsidRDefault="00667B34" w:rsidP="00FB6EFC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10 perces interjú 2015. november 25.-én 15:30-16:00 óra között hangzott el.</w:t>
            </w:r>
          </w:p>
          <w:p w:rsidR="00667B34" w:rsidRDefault="00667B34" w:rsidP="00FB6EFC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sz w:val="23"/>
                <w:szCs w:val="23"/>
              </w:rPr>
              <w:t>Mind spotok, mind az interjú szövegét a mellékelt CD lemez tartalmazza.</w:t>
            </w:r>
          </w:p>
          <w:p w:rsidR="00EA7935" w:rsidRPr="006B4DD5" w:rsidRDefault="00EA7935" w:rsidP="00B63C7C">
            <w:pPr>
              <w:spacing w:line="360" w:lineRule="auto"/>
              <w:jc w:val="both"/>
              <w:rPr>
                <w:bCs/>
                <w:iCs/>
              </w:rPr>
            </w:pPr>
            <w:r w:rsidRPr="00B3471B">
              <w:rPr>
                <w:b/>
                <w:bCs/>
                <w:i/>
                <w:iCs/>
              </w:rPr>
              <w:t>8. Ismertesse a békéltető testületek részére nyújtott képzésről szóló tapasztalatokat és eredményeket. A testület maga tart-e bármilyen felkészítő tanfolyamot a tagjai számára? Amennyiben igen, milyen tapasztalatokkal rendelkezik</w:t>
            </w:r>
            <w:r w:rsidRPr="006B4DD5">
              <w:rPr>
                <w:bCs/>
                <w:iCs/>
              </w:rPr>
              <w:t>?</w:t>
            </w:r>
          </w:p>
        </w:tc>
      </w:tr>
      <w:tr w:rsidR="00EA7935" w:rsidRPr="006B4DD5" w:rsidTr="0099458B">
        <w:trPr>
          <w:cantSplit/>
          <w:trHeight w:val="326"/>
        </w:trPr>
        <w:tc>
          <w:tcPr>
            <w:tcW w:w="9640" w:type="dxa"/>
            <w:gridSpan w:val="2"/>
            <w:shd w:val="clear" w:color="auto" w:fill="auto"/>
          </w:tcPr>
          <w:p w:rsidR="00837003" w:rsidRDefault="00837003" w:rsidP="00837003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Félévente tartottunk szakmai továbbképzést a tagok részére, több alkalommal a Fogyasztóvédelmi Hatósággal </w:t>
            </w:r>
            <w:r w:rsidR="00DE30A2">
              <w:rPr>
                <w:bCs/>
                <w:iCs/>
              </w:rPr>
              <w:t xml:space="preserve">és a Fogyasztóvédelmi Egyesület helyi szervezetével </w:t>
            </w:r>
            <w:r>
              <w:rPr>
                <w:bCs/>
                <w:iCs/>
              </w:rPr>
              <w:t>együttesen</w:t>
            </w:r>
            <w:r w:rsidR="00DE0D7A">
              <w:rPr>
                <w:bCs/>
                <w:iCs/>
              </w:rPr>
              <w:t xml:space="preserve">. </w:t>
            </w:r>
            <w:r>
              <w:rPr>
                <w:bCs/>
                <w:iCs/>
              </w:rPr>
              <w:t>.Ezeket a kötelező képzés bevezetése miatt negyedévente tartjuk, és saját erőből megoldjuk, hiszen az Elnök és Elnökhel</w:t>
            </w:r>
            <w:r w:rsidR="00DE0D7A">
              <w:rPr>
                <w:bCs/>
                <w:iCs/>
              </w:rPr>
              <w:t>yettes rendszeresen részt veszek</w:t>
            </w:r>
            <w:r>
              <w:rPr>
                <w:bCs/>
                <w:iCs/>
              </w:rPr>
              <w:t xml:space="preserve"> az országos konferenciákon.</w:t>
            </w:r>
          </w:p>
          <w:p w:rsidR="00837003" w:rsidRDefault="00837003" w:rsidP="00B63C7C">
            <w:pPr>
              <w:spacing w:line="360" w:lineRule="auto"/>
              <w:jc w:val="both"/>
              <w:rPr>
                <w:bCs/>
                <w:iCs/>
              </w:rPr>
            </w:pPr>
          </w:p>
          <w:p w:rsidR="00EA7935" w:rsidRPr="006B4DD5" w:rsidRDefault="00EA7935" w:rsidP="00B63C7C">
            <w:pPr>
              <w:spacing w:line="360" w:lineRule="auto"/>
              <w:jc w:val="both"/>
              <w:rPr>
                <w:bCs/>
                <w:iCs/>
              </w:rPr>
            </w:pPr>
            <w:r w:rsidRPr="00B3471B">
              <w:rPr>
                <w:b/>
                <w:bCs/>
                <w:i/>
                <w:iCs/>
              </w:rPr>
              <w:t>9. Ismertesse, milyen szakmai rendezvényen/képzésen vettek részt a testület tagjai. Mutassa be és csatolja a testület kiadványait és publikációit</w:t>
            </w:r>
            <w:r w:rsidRPr="006B4DD5">
              <w:rPr>
                <w:bCs/>
                <w:iCs/>
              </w:rPr>
              <w:t>.</w:t>
            </w:r>
          </w:p>
        </w:tc>
      </w:tr>
      <w:tr w:rsidR="00EA7935" w:rsidRPr="006B4DD5" w:rsidTr="0099458B">
        <w:trPr>
          <w:cantSplit/>
          <w:trHeight w:val="326"/>
        </w:trPr>
        <w:tc>
          <w:tcPr>
            <w:tcW w:w="9640" w:type="dxa"/>
            <w:gridSpan w:val="2"/>
            <w:shd w:val="clear" w:color="auto" w:fill="auto"/>
          </w:tcPr>
          <w:p w:rsidR="00240502" w:rsidRPr="007A6B62" w:rsidRDefault="00240502" w:rsidP="00DE30A2">
            <w:pPr>
              <w:jc w:val="both"/>
              <w:rPr>
                <w:bCs/>
                <w:iCs/>
              </w:rPr>
            </w:pPr>
            <w:r w:rsidRPr="007A6B62">
              <w:rPr>
                <w:bCs/>
                <w:iCs/>
              </w:rPr>
              <w:t>A pénzügyi lehetőségek korlátozottsága miatt szakmai konferenciákon szűkebb körben veszünk részt. A testület elnöke, elnökhelyettes és esetenként kijelölt 4-5 fő vesz részt a budapesti konferenciákon, saját konferenciát más békéltető testülettel karöltve id</w:t>
            </w:r>
            <w:r w:rsidR="00DE30A2">
              <w:rPr>
                <w:bCs/>
                <w:iCs/>
              </w:rPr>
              <w:t>én nem tudtunk szervezni.2016.</w:t>
            </w:r>
            <w:r w:rsidR="00B3471B">
              <w:rPr>
                <w:bCs/>
                <w:iCs/>
              </w:rPr>
              <w:t xml:space="preserve"> év őszén</w:t>
            </w:r>
            <w:r w:rsidRPr="007A6B62">
              <w:rPr>
                <w:bCs/>
                <w:iCs/>
              </w:rPr>
              <w:t xml:space="preserve"> várhatóan megrendezzük a GY-M_S- megyei Békéltető Testülettel a regionális konferenciánkat, tradicionálisan Bükfürdőn.</w:t>
            </w:r>
          </w:p>
          <w:p w:rsidR="00240502" w:rsidRPr="007A6B62" w:rsidRDefault="00240502" w:rsidP="00DE30A2">
            <w:pPr>
              <w:jc w:val="both"/>
              <w:rPr>
                <w:bCs/>
                <w:iCs/>
              </w:rPr>
            </w:pPr>
            <w:r w:rsidRPr="007A6B62">
              <w:rPr>
                <w:bCs/>
                <w:iCs/>
              </w:rPr>
              <w:t xml:space="preserve">A tagjaink évente elfogadják a beszámolónkat, ahol is a rendszeres továbbképzésen túl előadásokat hallgatnak meg az aktuális jogszabályi előírásokról, a változásokról. Ezekről a tagokat elektronikus úton </w:t>
            </w:r>
            <w:r>
              <w:rPr>
                <w:bCs/>
                <w:iCs/>
              </w:rPr>
              <w:t>is rendszeresen tájékoztatjuk, ahogy az országos hírleveleket is megküldjük.</w:t>
            </w:r>
          </w:p>
          <w:p w:rsidR="00240502" w:rsidRDefault="00DE30A2" w:rsidP="00DE30A2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Saját kiadvánnyal nem álltunk elő, mivel a pénzünk a működés feltételeit is alig biztosítja, most nem marketingre, hanem a finanszírozás rendezésére van szükség.</w:t>
            </w:r>
          </w:p>
          <w:p w:rsidR="00240502" w:rsidRDefault="00240502" w:rsidP="00DE30A2">
            <w:pPr>
              <w:spacing w:line="360" w:lineRule="auto"/>
              <w:jc w:val="both"/>
              <w:rPr>
                <w:bCs/>
                <w:iCs/>
              </w:rPr>
            </w:pPr>
          </w:p>
          <w:p w:rsidR="00EA7935" w:rsidRPr="00B3471B" w:rsidRDefault="00EA7935" w:rsidP="00DE30A2">
            <w:pPr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B3471B">
              <w:rPr>
                <w:b/>
                <w:bCs/>
                <w:i/>
                <w:iCs/>
              </w:rPr>
              <w:t>10. Ismertesse tanácsadási tevékenysége során szerzett tapasztalatokat, a testület tanácsadási rendszerét, illetve ügyfélszolgálatának működését.</w:t>
            </w:r>
          </w:p>
          <w:p w:rsidR="00EA7935" w:rsidRPr="006B4DD5" w:rsidRDefault="00EA7935" w:rsidP="00DE30A2">
            <w:pPr>
              <w:spacing w:line="360" w:lineRule="auto"/>
              <w:jc w:val="both"/>
              <w:rPr>
                <w:bCs/>
                <w:iCs/>
              </w:rPr>
            </w:pPr>
            <w:r w:rsidRPr="00B3471B">
              <w:rPr>
                <w:b/>
                <w:bCs/>
                <w:i/>
                <w:iCs/>
              </w:rPr>
              <w:t>Ismertesse, hogy tagja–e a testület valamely határon átnyúló alternatív vitarendezést elősegítő hálózatnak. Amennyiben tagja, mutassa be az együttműködés eredményeit</w:t>
            </w:r>
            <w:r w:rsidRPr="006B4DD5">
              <w:rPr>
                <w:bCs/>
                <w:iCs/>
              </w:rPr>
              <w:t>.</w:t>
            </w:r>
          </w:p>
        </w:tc>
      </w:tr>
      <w:tr w:rsidR="00EA7935" w:rsidRPr="006B4DD5" w:rsidTr="0099458B">
        <w:trPr>
          <w:cantSplit/>
          <w:trHeight w:val="326"/>
        </w:trPr>
        <w:tc>
          <w:tcPr>
            <w:tcW w:w="9640" w:type="dxa"/>
            <w:gridSpan w:val="2"/>
            <w:shd w:val="clear" w:color="auto" w:fill="auto"/>
          </w:tcPr>
          <w:p w:rsidR="001359B4" w:rsidRDefault="001359B4" w:rsidP="00DE30A2">
            <w:pPr>
              <w:spacing w:line="360" w:lineRule="auto"/>
              <w:jc w:val="both"/>
              <w:rPr>
                <w:bCs/>
                <w:iCs/>
              </w:rPr>
            </w:pPr>
          </w:p>
          <w:p w:rsidR="001359B4" w:rsidRPr="00B614B6" w:rsidRDefault="00DE30A2" w:rsidP="00DE30A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A </w:t>
            </w:r>
            <w:r w:rsidR="001359B4" w:rsidRPr="00B614B6">
              <w:rPr>
                <w:bCs/>
                <w:iCs/>
              </w:rPr>
              <w:t>Tanácsadási tevékenységet a Testület civil fogyasztóvédelmi oldala látja el, heti 3x3 órában, egyrészt a Békéltető Testület székhelyén, másrészt az Országos Fogyasztóvédelmi Egyesület Vas Megyei Szervezetének irodájában.</w:t>
            </w:r>
          </w:p>
          <w:p w:rsidR="001359B4" w:rsidRPr="00B614B6" w:rsidRDefault="001359B4" w:rsidP="00DE30A2">
            <w:pPr>
              <w:jc w:val="both"/>
              <w:rPr>
                <w:bCs/>
                <w:iCs/>
              </w:rPr>
            </w:pPr>
            <w:r w:rsidRPr="00B614B6">
              <w:rPr>
                <w:bCs/>
                <w:iCs/>
              </w:rPr>
              <w:t>Személyes megkeresés esetén írásbeli feljegyzés készül. Mód van a telef</w:t>
            </w:r>
            <w:r w:rsidR="00DE30A2">
              <w:rPr>
                <w:bCs/>
                <w:iCs/>
              </w:rPr>
              <w:t>onos, e-mail-es tanácsadásra is és az ügyiratok elektronikus érkeztetésére is.</w:t>
            </w:r>
          </w:p>
          <w:p w:rsidR="00E20CDE" w:rsidRDefault="001359B4" w:rsidP="00DE30A2">
            <w:pPr>
              <w:jc w:val="both"/>
              <w:rPr>
                <w:bCs/>
                <w:iCs/>
              </w:rPr>
            </w:pPr>
            <w:r w:rsidRPr="00B614B6">
              <w:rPr>
                <w:bCs/>
                <w:iCs/>
              </w:rPr>
              <w:t>2015. I. félévében. évben a nyilvántartott tanácsadások száma 72 volt.</w:t>
            </w:r>
          </w:p>
          <w:p w:rsidR="001359B4" w:rsidRPr="00B614B6" w:rsidRDefault="001359B4" w:rsidP="00DE30A2">
            <w:pPr>
              <w:jc w:val="both"/>
              <w:rPr>
                <w:bCs/>
                <w:iCs/>
              </w:rPr>
            </w:pPr>
            <w:r w:rsidRPr="00B614B6">
              <w:rPr>
                <w:bCs/>
                <w:iCs/>
              </w:rPr>
              <w:t>Számos esetben fordul elő, hogy a hivatali időn túl telefonon keresik meg munkatársainkat ezek száma 60-rara tehető, de nyilvántartásra nem kerülnek.</w:t>
            </w:r>
          </w:p>
          <w:p w:rsidR="001359B4" w:rsidRPr="00B614B6" w:rsidRDefault="001359B4" w:rsidP="00DE30A2">
            <w:pPr>
              <w:jc w:val="both"/>
              <w:rPr>
                <w:bCs/>
                <w:iCs/>
              </w:rPr>
            </w:pPr>
            <w:r w:rsidRPr="00B614B6">
              <w:rPr>
                <w:bCs/>
                <w:iCs/>
              </w:rPr>
              <w:t xml:space="preserve">A napi munka velejárója, hogy a Békéltető Testület ügyintézőjéhez fordulnak a fogyasztók felvilágosításért, ezek száma nincs </w:t>
            </w:r>
            <w:r>
              <w:rPr>
                <w:bCs/>
                <w:iCs/>
              </w:rPr>
              <w:t xml:space="preserve">ugyancsak nincs </w:t>
            </w:r>
            <w:r w:rsidRPr="00B614B6">
              <w:rPr>
                <w:bCs/>
                <w:iCs/>
              </w:rPr>
              <w:t>nyilvántartva</w:t>
            </w:r>
          </w:p>
          <w:p w:rsidR="001359B4" w:rsidRPr="00B614B6" w:rsidRDefault="001359B4" w:rsidP="00DE30A2">
            <w:pPr>
              <w:jc w:val="both"/>
              <w:rPr>
                <w:bCs/>
                <w:iCs/>
              </w:rPr>
            </w:pPr>
            <w:r w:rsidRPr="00B614B6">
              <w:rPr>
                <w:bCs/>
                <w:iCs/>
              </w:rPr>
              <w:t xml:space="preserve">A fogyasztó jellemzően jogi tanácsot kérnek. </w:t>
            </w:r>
          </w:p>
          <w:p w:rsidR="001359B4" w:rsidRPr="00B614B6" w:rsidRDefault="001359B4" w:rsidP="00DE30A2">
            <w:pPr>
              <w:jc w:val="both"/>
              <w:rPr>
                <w:bCs/>
                <w:iCs/>
              </w:rPr>
            </w:pPr>
            <w:r w:rsidRPr="00B614B6">
              <w:rPr>
                <w:bCs/>
                <w:iCs/>
              </w:rPr>
              <w:t>Azokban az esetekben, amikor békéltető testület eljárást javasolunk, igény esetén segítünk a beadvány megfogalmazásában.</w:t>
            </w:r>
          </w:p>
          <w:p w:rsidR="001359B4" w:rsidRPr="00B614B6" w:rsidRDefault="001359B4" w:rsidP="00DE30A2">
            <w:pPr>
              <w:jc w:val="both"/>
              <w:rPr>
                <w:bCs/>
                <w:iCs/>
              </w:rPr>
            </w:pPr>
            <w:r w:rsidRPr="00B614B6">
              <w:rPr>
                <w:bCs/>
                <w:iCs/>
              </w:rPr>
              <w:t xml:space="preserve">Egyre inkább a vállalkozások is igénylik a Testületi tanácsadást nem kizárólag a békéltető eljárással kapcsolatban, hanem általános fogyasztóvédelmi témájú kérdésekkel is </w:t>
            </w:r>
          </w:p>
          <w:p w:rsidR="001359B4" w:rsidRDefault="001359B4" w:rsidP="00DE30A2">
            <w:pPr>
              <w:spacing w:line="360" w:lineRule="auto"/>
              <w:jc w:val="both"/>
              <w:rPr>
                <w:bCs/>
                <w:iCs/>
              </w:rPr>
            </w:pPr>
          </w:p>
          <w:p w:rsidR="00EA7935" w:rsidRPr="006B4DD5" w:rsidRDefault="00EA7935" w:rsidP="00DE30A2">
            <w:pPr>
              <w:spacing w:line="360" w:lineRule="auto"/>
              <w:jc w:val="both"/>
              <w:rPr>
                <w:bCs/>
                <w:iCs/>
              </w:rPr>
            </w:pPr>
            <w:r w:rsidRPr="00B3471B">
              <w:rPr>
                <w:b/>
                <w:bCs/>
                <w:i/>
                <w:iCs/>
              </w:rPr>
              <w:t>11. Ismertesse az OVR rendelet által létrehozott online platform működésének gyakorlatát és a tapasztalatokat</w:t>
            </w:r>
            <w:r w:rsidRPr="006B4DD5">
              <w:rPr>
                <w:bCs/>
                <w:iCs/>
              </w:rPr>
              <w:t>.</w:t>
            </w:r>
          </w:p>
        </w:tc>
      </w:tr>
      <w:tr w:rsidR="00EA7935" w:rsidRPr="006B4DD5" w:rsidTr="0099458B">
        <w:trPr>
          <w:cantSplit/>
          <w:trHeight w:val="326"/>
        </w:trPr>
        <w:tc>
          <w:tcPr>
            <w:tcW w:w="9640" w:type="dxa"/>
            <w:gridSpan w:val="2"/>
            <w:shd w:val="clear" w:color="auto" w:fill="auto"/>
          </w:tcPr>
          <w:p w:rsidR="002A4614" w:rsidRDefault="002A4614" w:rsidP="00DE30A2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Két jogász végzettségű tagunkat jelöljük a platform működéséhez az éles szakaszban,gyakorlati tapasztalatunk még nincs.</w:t>
            </w:r>
          </w:p>
          <w:p w:rsidR="00481F60" w:rsidRPr="00481F60" w:rsidRDefault="00481F60" w:rsidP="00DE30A2">
            <w:pPr>
              <w:jc w:val="both"/>
              <w:rPr>
                <w:rFonts w:ascii="Futura_PFL" w:hAnsi="Futura_PFL"/>
                <w:bCs/>
                <w:iCs/>
                <w:highlight w:val="lightGray"/>
              </w:rPr>
            </w:pPr>
            <w:r w:rsidRPr="007A6B62">
              <w:rPr>
                <w:rFonts w:ascii="Futura_PFL" w:hAnsi="Futura_PFL"/>
                <w:bCs/>
                <w:iCs/>
              </w:rPr>
              <w:t>Az Online vásárlással kapcsolatos belföldi vagy határon átnyúló ügyekben az interneten bárki álta</w:t>
            </w:r>
            <w:r w:rsidR="00DE0D7A">
              <w:rPr>
                <w:rFonts w:ascii="Futura_PFL" w:hAnsi="Futura_PFL"/>
                <w:bCs/>
                <w:iCs/>
              </w:rPr>
              <w:t>l ingyenesen elérhető honlap (OD</w:t>
            </w:r>
            <w:r w:rsidRPr="007A6B62">
              <w:rPr>
                <w:rFonts w:ascii="Futura_PFL" w:hAnsi="Futura_PFL"/>
                <w:bCs/>
                <w:iCs/>
              </w:rPr>
              <w:t xml:space="preserve">R-platform) segíti majd az egyezségek elérését, miközben az eljárás végig a világhálón zajlik. Ennek működtetésével, a fogyasztók által történő igénybevételről nincs tapasztalatunk, erre nagyobb kommunikációs ismertetés bevezetése szükséges, javaslom az országos sajtó és szakmai szervezetek részvételével </w:t>
            </w:r>
            <w:r w:rsidR="00DE30A2">
              <w:rPr>
                <w:rFonts w:ascii="Futura_PFL" w:hAnsi="Futura_PFL"/>
                <w:bCs/>
                <w:iCs/>
              </w:rPr>
              <w:t xml:space="preserve">újabb </w:t>
            </w:r>
            <w:r w:rsidRPr="007A6B62">
              <w:rPr>
                <w:rFonts w:ascii="Futura_PFL" w:hAnsi="Futura_PFL"/>
                <w:bCs/>
                <w:iCs/>
              </w:rPr>
              <w:t xml:space="preserve">országos/helyi konferencia szervezését. A saját </w:t>
            </w:r>
            <w:r w:rsidR="00DE30A2">
              <w:rPr>
                <w:rFonts w:ascii="Futura_PFL" w:hAnsi="Futura_PFL"/>
                <w:bCs/>
                <w:iCs/>
              </w:rPr>
              <w:t>honlap kialakítása most történt meg</w:t>
            </w:r>
            <w:r w:rsidRPr="007A6B62">
              <w:rPr>
                <w:rFonts w:ascii="Futura_PFL" w:hAnsi="Futura_PFL"/>
                <w:bCs/>
                <w:iCs/>
              </w:rPr>
              <w:t>, de eddig is volt alhonlapunk a Vas Megyei Kereskedelmi és Iparkamara honlapján</w:t>
            </w:r>
            <w:r w:rsidR="00DE30A2">
              <w:rPr>
                <w:rFonts w:ascii="Futura_PFL" w:hAnsi="Futura_PFL"/>
                <w:bCs/>
                <w:iCs/>
              </w:rPr>
              <w:t>, amelyet a VMKIK rendszergazdájával önállósítottunk a központi előírások szerint.</w:t>
            </w:r>
          </w:p>
          <w:p w:rsidR="00481F60" w:rsidRDefault="00481F60" w:rsidP="00DE30A2">
            <w:pPr>
              <w:spacing w:line="360" w:lineRule="auto"/>
              <w:jc w:val="both"/>
              <w:rPr>
                <w:bCs/>
                <w:iCs/>
              </w:rPr>
            </w:pPr>
          </w:p>
          <w:p w:rsidR="00EA7935" w:rsidRPr="00B3471B" w:rsidRDefault="00EA7935" w:rsidP="00DE30A2">
            <w:pPr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B3471B">
              <w:rPr>
                <w:b/>
                <w:bCs/>
                <w:i/>
                <w:iCs/>
              </w:rPr>
              <w:t>12. Mutassa be média és PR megjelenéseit (TV, rádió, online, nyomtatott sajtó).</w:t>
            </w:r>
          </w:p>
          <w:p w:rsidR="00B3471B" w:rsidRDefault="00667B34" w:rsidP="00DE30A2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A 7. pontban ismertetett média megjelenésen kívül </w:t>
            </w:r>
            <w:r w:rsidR="00807167">
              <w:rPr>
                <w:bCs/>
                <w:iCs/>
              </w:rPr>
              <w:t xml:space="preserve">elnökhelyettesünk az Országos Fogyasztóvédelmi Egyesület Vas Megyei elnökének </w:t>
            </w:r>
            <w:r w:rsidR="00163AB0">
              <w:rPr>
                <w:bCs/>
                <w:iCs/>
              </w:rPr>
              <w:t>2 fogyasztóvédelmi</w:t>
            </w:r>
            <w:r w:rsidR="00807167">
              <w:rPr>
                <w:bCs/>
                <w:iCs/>
              </w:rPr>
              <w:t xml:space="preserve"> tárgyú cikke jelent meg, egy alkalommal sajtóinterjút, egy alkalommal rádióinterjút adott, melyekbe</w:t>
            </w:r>
            <w:r w:rsidR="00163AB0">
              <w:rPr>
                <w:bCs/>
                <w:iCs/>
              </w:rPr>
              <w:t>n</w:t>
            </w:r>
            <w:r w:rsidR="00807167">
              <w:rPr>
                <w:bCs/>
                <w:iCs/>
              </w:rPr>
              <w:t xml:space="preserve"> a békéltető testület tevékenységérői is volt szó.</w:t>
            </w:r>
          </w:p>
          <w:p w:rsidR="00EA7935" w:rsidRPr="006B4DD5" w:rsidRDefault="00EA7935" w:rsidP="00DE30A2">
            <w:pPr>
              <w:spacing w:line="360" w:lineRule="auto"/>
              <w:jc w:val="both"/>
              <w:rPr>
                <w:bCs/>
                <w:iCs/>
              </w:rPr>
            </w:pPr>
            <w:r w:rsidRPr="00B3471B">
              <w:rPr>
                <w:b/>
                <w:bCs/>
                <w:i/>
                <w:iCs/>
              </w:rPr>
              <w:t>13. Ismertesse a békéltető testület által létrehozott honlap látogatottsági adatait, a fogyasztók visszajelzését a honlappal kapcsolatban</w:t>
            </w:r>
            <w:r w:rsidRPr="006B4DD5">
              <w:rPr>
                <w:bCs/>
                <w:iCs/>
              </w:rPr>
              <w:t>.</w:t>
            </w:r>
          </w:p>
          <w:p w:rsidR="009432F7" w:rsidRPr="006B4DD5" w:rsidRDefault="009432F7" w:rsidP="00DE30A2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Még nem rendelkezünk adatokkal, a következő beszámolóban már tudjuk közölni az adatokat.</w:t>
            </w:r>
          </w:p>
          <w:p w:rsidR="009432F7" w:rsidRDefault="009432F7" w:rsidP="00DE30A2">
            <w:pPr>
              <w:spacing w:line="360" w:lineRule="auto"/>
              <w:jc w:val="both"/>
              <w:rPr>
                <w:bCs/>
                <w:iCs/>
              </w:rPr>
            </w:pPr>
          </w:p>
          <w:p w:rsidR="00EA7935" w:rsidRPr="006B4DD5" w:rsidRDefault="00EA7935" w:rsidP="00DE30A2">
            <w:pPr>
              <w:spacing w:line="360" w:lineRule="auto"/>
              <w:jc w:val="both"/>
              <w:rPr>
                <w:bCs/>
                <w:iCs/>
              </w:rPr>
            </w:pPr>
            <w:r w:rsidRPr="00B3471B">
              <w:rPr>
                <w:b/>
                <w:bCs/>
                <w:i/>
                <w:iCs/>
              </w:rPr>
              <w:t>14. Végez-e a testület bármilyen felmérést arra vonatkozóan, hogy a hozzá forduló fogyasztó hol tájékozódott arról, hogy jogvitáját a békéltető testületnél rendezheti? Amennyiben igen, ismertesse a felmérés(ek) eredményét</w:t>
            </w:r>
            <w:r w:rsidRPr="006B4DD5">
              <w:rPr>
                <w:bCs/>
                <w:iCs/>
              </w:rPr>
              <w:t>!</w:t>
            </w:r>
          </w:p>
          <w:p w:rsidR="009432F7" w:rsidRPr="006B4DD5" w:rsidRDefault="009432F7" w:rsidP="00DE30A2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Nem készítettünk, szerintem ez nem a Békéltető Testület kompetenciája, sem embere,sem szervezete, sem pénze nincs erre. </w:t>
            </w:r>
          </w:p>
          <w:p w:rsidR="009432F7" w:rsidRDefault="009432F7" w:rsidP="00DE30A2">
            <w:pPr>
              <w:spacing w:line="360" w:lineRule="auto"/>
              <w:jc w:val="both"/>
              <w:rPr>
                <w:bCs/>
                <w:iCs/>
              </w:rPr>
            </w:pPr>
          </w:p>
          <w:p w:rsidR="00EA7935" w:rsidRPr="006B4DD5" w:rsidRDefault="00EA7935" w:rsidP="00DE30A2">
            <w:pPr>
              <w:spacing w:line="360" w:lineRule="auto"/>
              <w:jc w:val="both"/>
              <w:rPr>
                <w:bCs/>
                <w:iCs/>
              </w:rPr>
            </w:pPr>
            <w:r w:rsidRPr="00B3471B">
              <w:rPr>
                <w:b/>
                <w:bCs/>
                <w:i/>
                <w:iCs/>
              </w:rPr>
              <w:t>15. Értékelje a testület által lefolyatott eljárások eredményességét, illetve írja le a teljesítményük javításának lehetséges módjait</w:t>
            </w:r>
            <w:r w:rsidRPr="006B4DD5">
              <w:rPr>
                <w:bCs/>
                <w:iCs/>
              </w:rPr>
              <w:t>.</w:t>
            </w:r>
          </w:p>
        </w:tc>
      </w:tr>
      <w:tr w:rsidR="00EA7935" w:rsidRPr="006B4DD5" w:rsidTr="0099458B">
        <w:trPr>
          <w:gridAfter w:val="1"/>
          <w:wAfter w:w="28" w:type="dxa"/>
          <w:trHeight w:val="1669"/>
        </w:trPr>
        <w:tc>
          <w:tcPr>
            <w:tcW w:w="9612" w:type="dxa"/>
          </w:tcPr>
          <w:p w:rsidR="005E40AB" w:rsidRDefault="005E40AB" w:rsidP="00B63C7C">
            <w:pPr>
              <w:spacing w:line="360" w:lineRule="auto"/>
              <w:jc w:val="both"/>
              <w:rPr>
                <w:iCs/>
              </w:rPr>
            </w:pPr>
            <w:r>
              <w:rPr>
                <w:bCs/>
                <w:iCs/>
              </w:rPr>
              <w:t>A teljesítményünket kiválóra értékelem, komoly szakmai munka folyik, pontosan dokumentálva és jegyzőkönyvezve, döntéseink a bírósági ítéletek analógiájára kerülnek szerkesztésre és indokolásaink a bírósági felülvizsgálatokat is állják. A jelenlegi szervezeti keretek között a teljesítmény javítása nem házon belüli eszközökkel képzelhető el.</w:t>
            </w:r>
          </w:p>
          <w:p w:rsidR="00EA7935" w:rsidRPr="00B3471B" w:rsidRDefault="00EA7935" w:rsidP="00B63C7C">
            <w:pPr>
              <w:spacing w:line="360" w:lineRule="auto"/>
              <w:jc w:val="both"/>
              <w:rPr>
                <w:b/>
                <w:i/>
                <w:iCs/>
              </w:rPr>
            </w:pPr>
            <w:r w:rsidRPr="00B3471B">
              <w:rPr>
                <w:b/>
                <w:i/>
                <w:iCs/>
              </w:rPr>
              <w:t>16. A szakmai beszámoló kötelező mellékletei</w:t>
            </w:r>
          </w:p>
          <w:p w:rsidR="00EA7935" w:rsidRPr="006B4DD5" w:rsidRDefault="00EA7935" w:rsidP="00B63C7C">
            <w:pPr>
              <w:spacing w:line="360" w:lineRule="auto"/>
              <w:jc w:val="both"/>
              <w:rPr>
                <w:iCs/>
              </w:rPr>
            </w:pPr>
            <w:r w:rsidRPr="006B4DD5">
              <w:rPr>
                <w:iCs/>
              </w:rPr>
              <w:t>Kérjük, az alábbi mellékletet nyújtsák be finanszírozási időszakonként a szakmai beszámoló részeként:</w:t>
            </w:r>
          </w:p>
          <w:p w:rsidR="00EA7935" w:rsidRPr="006B4DD5" w:rsidRDefault="00EA7935" w:rsidP="00B63C7C">
            <w:pPr>
              <w:spacing w:line="360" w:lineRule="auto"/>
              <w:jc w:val="both"/>
            </w:pPr>
          </w:p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74"/>
              <w:gridCol w:w="8434"/>
            </w:tblGrid>
            <w:tr w:rsidR="00EA7935" w:rsidRPr="006B4DD5" w:rsidTr="00B63C7C">
              <w:trPr>
                <w:jc w:val="center"/>
              </w:trPr>
              <w:tc>
                <w:tcPr>
                  <w:tcW w:w="808" w:type="dxa"/>
                </w:tcPr>
                <w:p w:rsidR="00EA7935" w:rsidRPr="006B4DD5" w:rsidRDefault="00EA7935" w:rsidP="00B63C7C">
                  <w:pPr>
                    <w:spacing w:line="360" w:lineRule="auto"/>
                    <w:jc w:val="both"/>
                  </w:pPr>
                  <w:r w:rsidRPr="006B4DD5">
                    <w:t>(M1)</w:t>
                  </w:r>
                </w:p>
                <w:p w:rsidR="00EA7935" w:rsidRPr="006B4DD5" w:rsidRDefault="00EA7935" w:rsidP="00B63C7C">
                  <w:pPr>
                    <w:spacing w:line="360" w:lineRule="auto"/>
                    <w:jc w:val="both"/>
                  </w:pPr>
                  <w:r w:rsidRPr="006B4DD5">
                    <w:t>(M2/A)</w:t>
                  </w:r>
                </w:p>
                <w:p w:rsidR="00EA7935" w:rsidRPr="006B4DD5" w:rsidRDefault="00EA7935" w:rsidP="00B63C7C">
                  <w:pPr>
                    <w:spacing w:line="360" w:lineRule="auto"/>
                    <w:jc w:val="both"/>
                  </w:pPr>
                  <w:r w:rsidRPr="006B4DD5">
                    <w:t>(M2/B)</w:t>
                  </w:r>
                </w:p>
                <w:p w:rsidR="00EA7935" w:rsidRPr="006B4DD5" w:rsidRDefault="00EA7935" w:rsidP="00B63C7C">
                  <w:pPr>
                    <w:spacing w:line="360" w:lineRule="auto"/>
                    <w:jc w:val="both"/>
                  </w:pPr>
                  <w:r w:rsidRPr="006B4DD5">
                    <w:t>(M3)</w:t>
                  </w:r>
                </w:p>
                <w:p w:rsidR="00EA7935" w:rsidRPr="006B4DD5" w:rsidRDefault="00EA7935" w:rsidP="00B63C7C">
                  <w:pPr>
                    <w:spacing w:line="360" w:lineRule="auto"/>
                    <w:jc w:val="both"/>
                  </w:pPr>
                  <w:r w:rsidRPr="006B4DD5">
                    <w:t>(M4)</w:t>
                  </w:r>
                </w:p>
              </w:tc>
              <w:tc>
                <w:tcPr>
                  <w:tcW w:w="8434" w:type="dxa"/>
                </w:tcPr>
                <w:p w:rsidR="00EA7935" w:rsidRPr="006B4DD5" w:rsidRDefault="00EA7935" w:rsidP="00B63C7C">
                  <w:pPr>
                    <w:spacing w:line="360" w:lineRule="auto"/>
                    <w:ind w:left="4489" w:hanging="4489"/>
                    <w:jc w:val="both"/>
                  </w:pPr>
                  <w:r w:rsidRPr="006B4DD5">
                    <w:t>Statisztikai adatlap a békéltető testület ügytípusainak megoszlásáról</w:t>
                  </w:r>
                </w:p>
                <w:p w:rsidR="00EA7935" w:rsidRPr="006B4DD5" w:rsidRDefault="00EA7935" w:rsidP="00B63C7C">
                  <w:pPr>
                    <w:spacing w:line="360" w:lineRule="auto"/>
                    <w:jc w:val="both"/>
                  </w:pPr>
                  <w:r w:rsidRPr="006B4DD5">
                    <w:t>Statisztikai adatlap a békéltető testületi ügyek Termékek szerinti megoszlásáról</w:t>
                  </w:r>
                </w:p>
                <w:p w:rsidR="00EA7935" w:rsidRPr="006B4DD5" w:rsidRDefault="00EA7935" w:rsidP="00B63C7C">
                  <w:pPr>
                    <w:spacing w:line="360" w:lineRule="auto"/>
                    <w:jc w:val="both"/>
                  </w:pPr>
                  <w:r w:rsidRPr="006B4DD5">
                    <w:t>Statisztikai adatlap a békéltető testületi ügyek Szolgáltatások szerinti megoszlásáról</w:t>
                  </w:r>
                </w:p>
                <w:p w:rsidR="00EA7935" w:rsidRPr="006B4DD5" w:rsidRDefault="00EA7935" w:rsidP="00B63C7C">
                  <w:pPr>
                    <w:spacing w:line="360" w:lineRule="auto"/>
                    <w:jc w:val="both"/>
                  </w:pPr>
                  <w:r w:rsidRPr="006B4DD5">
                    <w:rPr>
                      <w:bCs/>
                      <w:color w:val="000000"/>
                    </w:rPr>
                    <w:t xml:space="preserve">A fogyasztói jogviták intézésének módja </w:t>
                  </w:r>
                </w:p>
                <w:p w:rsidR="00EA7935" w:rsidRPr="006B4DD5" w:rsidRDefault="00EA7935" w:rsidP="00B63C7C">
                  <w:pPr>
                    <w:spacing w:line="360" w:lineRule="auto"/>
                    <w:jc w:val="both"/>
                  </w:pPr>
                  <w:r w:rsidRPr="006B4DD5">
                    <w:t>Statisztikai adatlap a békéltető testület döntéseinek bíróság előtti megtámadásáról</w:t>
                  </w:r>
                </w:p>
                <w:p w:rsidR="00EA7935" w:rsidRPr="006B4DD5" w:rsidRDefault="00EA7935" w:rsidP="00B63C7C">
                  <w:pPr>
                    <w:spacing w:line="360" w:lineRule="auto"/>
                    <w:ind w:left="-809"/>
                    <w:jc w:val="both"/>
                  </w:pPr>
                  <w:r w:rsidRPr="006B4DD5">
                    <w:t xml:space="preserve"> </w:t>
                  </w:r>
                </w:p>
              </w:tc>
            </w:tr>
          </w:tbl>
          <w:p w:rsidR="00EA7935" w:rsidRPr="006B4DD5" w:rsidRDefault="00EA7935" w:rsidP="00B63C7C">
            <w:pPr>
              <w:spacing w:line="360" w:lineRule="auto"/>
              <w:jc w:val="both"/>
            </w:pPr>
          </w:p>
        </w:tc>
      </w:tr>
    </w:tbl>
    <w:p w:rsidR="00EA7935" w:rsidRPr="006B4DD5" w:rsidRDefault="00EA7935" w:rsidP="00EA7935">
      <w:pPr>
        <w:rPr>
          <w:b/>
        </w:rPr>
      </w:pPr>
    </w:p>
    <w:tbl>
      <w:tblPr>
        <w:tblW w:w="961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2"/>
      </w:tblGrid>
      <w:tr w:rsidR="00EA7935" w:rsidRPr="006B4DD5" w:rsidTr="00B63C7C">
        <w:trPr>
          <w:trHeight w:val="3250"/>
        </w:trPr>
        <w:tc>
          <w:tcPr>
            <w:tcW w:w="9612" w:type="dxa"/>
          </w:tcPr>
          <w:p w:rsidR="00EA7935" w:rsidRPr="006B4DD5" w:rsidRDefault="00EA7935" w:rsidP="00B63C7C">
            <w:pPr>
              <w:ind w:left="-27"/>
              <w:jc w:val="both"/>
              <w:rPr>
                <w:b/>
                <w:bCs/>
                <w:i/>
                <w:iCs/>
              </w:rPr>
            </w:pPr>
            <w:r w:rsidRPr="006B4DD5">
              <w:rPr>
                <w:b/>
                <w:bCs/>
                <w:i/>
                <w:iCs/>
              </w:rPr>
              <w:t>A szakmai beszámoló hitelesítése</w:t>
            </w:r>
          </w:p>
          <w:p w:rsidR="00EA7935" w:rsidRPr="006B4DD5" w:rsidRDefault="00EA7935" w:rsidP="00B63C7C">
            <w:pPr>
              <w:ind w:left="-27"/>
              <w:jc w:val="both"/>
              <w:rPr>
                <w:bCs/>
                <w:i/>
                <w:iCs/>
              </w:rPr>
            </w:pPr>
          </w:p>
          <w:p w:rsidR="00EA7935" w:rsidRPr="006B4DD5" w:rsidRDefault="00EA7935" w:rsidP="00B63C7C">
            <w:pPr>
              <w:ind w:left="-27"/>
              <w:jc w:val="both"/>
              <w:rPr>
                <w:bCs/>
                <w:i/>
                <w:iCs/>
              </w:rPr>
            </w:pPr>
            <w:r w:rsidRPr="006B4DD5">
              <w:rPr>
                <w:bCs/>
                <w:i/>
                <w:iCs/>
              </w:rPr>
              <w:t xml:space="preserve">Alulírott Közreműködő  kijelentem, hogy a Szakmai beszámolóban szereplő adatok és a </w:t>
            </w:r>
            <w:r w:rsidR="00B3471B" w:rsidRPr="006B4DD5">
              <w:rPr>
                <w:bCs/>
                <w:i/>
                <w:iCs/>
              </w:rPr>
              <w:t>mellékelt,</w:t>
            </w:r>
            <w:r w:rsidRPr="006B4DD5">
              <w:rPr>
                <w:bCs/>
                <w:i/>
                <w:iCs/>
              </w:rPr>
              <w:t xml:space="preserve"> dokumentumok hitelesek és a valóságnak megfelelnek.</w:t>
            </w:r>
          </w:p>
          <w:p w:rsidR="00EA7935" w:rsidRPr="006B4DD5" w:rsidRDefault="00EA7935" w:rsidP="00B63C7C">
            <w:pPr>
              <w:ind w:left="-27"/>
              <w:jc w:val="both"/>
              <w:rPr>
                <w:bCs/>
                <w:i/>
                <w:iCs/>
              </w:rPr>
            </w:pPr>
          </w:p>
          <w:p w:rsidR="00EA7935" w:rsidRPr="006B4DD5" w:rsidRDefault="00EA7935" w:rsidP="00B63C7C">
            <w:pPr>
              <w:ind w:left="-27"/>
              <w:jc w:val="both"/>
              <w:rPr>
                <w:bCs/>
                <w:i/>
                <w:iCs/>
              </w:rPr>
            </w:pPr>
          </w:p>
          <w:p w:rsidR="00EA7935" w:rsidRPr="006B4DD5" w:rsidRDefault="00EA7935" w:rsidP="00B63C7C">
            <w:pPr>
              <w:jc w:val="both"/>
              <w:rPr>
                <w:bCs/>
                <w:i/>
                <w:iCs/>
              </w:rPr>
            </w:pPr>
            <w:r w:rsidRPr="006B4DD5">
              <w:rPr>
                <w:bCs/>
                <w:i/>
                <w:iCs/>
              </w:rPr>
              <w:t xml:space="preserve">Dátum: </w:t>
            </w:r>
            <w:r w:rsidR="005E40AB">
              <w:rPr>
                <w:bCs/>
                <w:i/>
                <w:iCs/>
              </w:rPr>
              <w:t>Szombathely, 2016. Február 15.</w:t>
            </w:r>
          </w:p>
          <w:p w:rsidR="00EA7935" w:rsidRPr="006B4DD5" w:rsidRDefault="00EA7935" w:rsidP="00B63C7C">
            <w:pPr>
              <w:ind w:left="-27"/>
              <w:jc w:val="both"/>
              <w:rPr>
                <w:bCs/>
                <w:i/>
                <w:iCs/>
              </w:rPr>
            </w:pPr>
          </w:p>
          <w:p w:rsidR="00EA7935" w:rsidRPr="006B4DD5" w:rsidRDefault="00EA7935" w:rsidP="00B63C7C">
            <w:pPr>
              <w:ind w:left="-27"/>
              <w:jc w:val="both"/>
              <w:rPr>
                <w:bCs/>
                <w:i/>
                <w:iCs/>
              </w:rPr>
            </w:pPr>
          </w:p>
          <w:p w:rsidR="005E40AB" w:rsidRDefault="00B3471B" w:rsidP="00B63C7C">
            <w:pPr>
              <w:ind w:left="-27" w:right="186"/>
              <w:jc w:val="right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Dr. Kövesdi</w:t>
            </w:r>
            <w:r w:rsidR="005E40AB">
              <w:rPr>
                <w:bCs/>
                <w:i/>
                <w:iCs/>
              </w:rPr>
              <w:t xml:space="preserve"> Zoltán elnök</w:t>
            </w:r>
          </w:p>
          <w:p w:rsidR="00EA7935" w:rsidRPr="006B4DD5" w:rsidRDefault="00EA7935" w:rsidP="00B63C7C">
            <w:pPr>
              <w:ind w:left="-27" w:right="186"/>
              <w:jc w:val="right"/>
              <w:rPr>
                <w:bCs/>
                <w:i/>
                <w:iCs/>
              </w:rPr>
            </w:pPr>
            <w:r w:rsidRPr="006B4DD5">
              <w:t>a testület elnökének cégszerű aláírása</w:t>
            </w:r>
          </w:p>
        </w:tc>
      </w:tr>
    </w:tbl>
    <w:p w:rsidR="00D67DBF" w:rsidRDefault="00D67DBF"/>
    <w:sectPr w:rsidR="00D67DBF" w:rsidSect="00CB6FFF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C36" w:rsidRDefault="00436C36">
      <w:r>
        <w:separator/>
      </w:r>
    </w:p>
  </w:endnote>
  <w:endnote w:type="continuationSeparator" w:id="0">
    <w:p w:rsidR="00436C36" w:rsidRDefault="0043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utura_PFL">
    <w:altName w:val="Times New Roman"/>
    <w:charset w:val="EE"/>
    <w:family w:val="auto"/>
    <w:pitch w:val="variable"/>
    <w:sig w:usb0="8000002F" w:usb1="00002148" w:usb2="00000000" w:usb3="00000000" w:csb0="0000008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93F" w:rsidRDefault="00217D69" w:rsidP="00B63C7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9393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9393F" w:rsidRDefault="0009393F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93F" w:rsidRDefault="00217D69" w:rsidP="00B63C7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9393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64604">
      <w:rPr>
        <w:rStyle w:val="Oldalszm"/>
        <w:noProof/>
      </w:rPr>
      <w:t>2</w:t>
    </w:r>
    <w:r>
      <w:rPr>
        <w:rStyle w:val="Oldalszm"/>
      </w:rPr>
      <w:fldChar w:fldCharType="end"/>
    </w:r>
  </w:p>
  <w:p w:rsidR="0009393F" w:rsidRDefault="0009393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C36" w:rsidRDefault="00436C36">
      <w:r>
        <w:separator/>
      </w:r>
    </w:p>
  </w:footnote>
  <w:footnote w:type="continuationSeparator" w:id="0">
    <w:p w:rsidR="00436C36" w:rsidRDefault="0043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93F" w:rsidRDefault="00217D69" w:rsidP="00B63C7C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9393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9393F" w:rsidRDefault="0009393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93F" w:rsidRDefault="0009393F" w:rsidP="00B63C7C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516B"/>
    <w:multiLevelType w:val="multilevel"/>
    <w:tmpl w:val="84869B0C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A755EC"/>
    <w:multiLevelType w:val="hybridMultilevel"/>
    <w:tmpl w:val="4A40F2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935"/>
    <w:rsid w:val="00054131"/>
    <w:rsid w:val="0009393F"/>
    <w:rsid w:val="001359B4"/>
    <w:rsid w:val="00163AB0"/>
    <w:rsid w:val="001F5D18"/>
    <w:rsid w:val="00217D69"/>
    <w:rsid w:val="00240502"/>
    <w:rsid w:val="002A0A32"/>
    <w:rsid w:val="002A4614"/>
    <w:rsid w:val="003E4F28"/>
    <w:rsid w:val="003F4F5F"/>
    <w:rsid w:val="004207D2"/>
    <w:rsid w:val="00436C36"/>
    <w:rsid w:val="00481F60"/>
    <w:rsid w:val="005857D3"/>
    <w:rsid w:val="005E289D"/>
    <w:rsid w:val="005E40AB"/>
    <w:rsid w:val="00605B85"/>
    <w:rsid w:val="00667B34"/>
    <w:rsid w:val="007066A0"/>
    <w:rsid w:val="00775BC1"/>
    <w:rsid w:val="007A60F3"/>
    <w:rsid w:val="00807167"/>
    <w:rsid w:val="00837003"/>
    <w:rsid w:val="00842ABE"/>
    <w:rsid w:val="008F54E0"/>
    <w:rsid w:val="009432F7"/>
    <w:rsid w:val="00976C39"/>
    <w:rsid w:val="00977631"/>
    <w:rsid w:val="0099458B"/>
    <w:rsid w:val="009E7EB7"/>
    <w:rsid w:val="00A34025"/>
    <w:rsid w:val="00A96168"/>
    <w:rsid w:val="00AC74F8"/>
    <w:rsid w:val="00B3471B"/>
    <w:rsid w:val="00B63C7C"/>
    <w:rsid w:val="00CB6FFF"/>
    <w:rsid w:val="00D21369"/>
    <w:rsid w:val="00D41F45"/>
    <w:rsid w:val="00D67DBF"/>
    <w:rsid w:val="00DE0D7A"/>
    <w:rsid w:val="00DE30A2"/>
    <w:rsid w:val="00E20CDE"/>
    <w:rsid w:val="00E34CCE"/>
    <w:rsid w:val="00E65C36"/>
    <w:rsid w:val="00EA7935"/>
    <w:rsid w:val="00F24BFE"/>
    <w:rsid w:val="00F61370"/>
    <w:rsid w:val="00F64604"/>
    <w:rsid w:val="00F820E9"/>
    <w:rsid w:val="00F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7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EA7935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9"/>
    <w:qFormat/>
    <w:rsid w:val="00EA7935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9"/>
    <w:qFormat/>
    <w:rsid w:val="00EA7935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9"/>
    <w:qFormat/>
    <w:rsid w:val="00EA7935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Cmsor5">
    <w:name w:val="heading 5"/>
    <w:basedOn w:val="Norml"/>
    <w:next w:val="Norml"/>
    <w:link w:val="Cmsor5Char"/>
    <w:uiPriority w:val="99"/>
    <w:qFormat/>
    <w:rsid w:val="00EA793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9"/>
    <w:qFormat/>
    <w:rsid w:val="00EA7935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Cmsor7">
    <w:name w:val="heading 7"/>
    <w:basedOn w:val="Norml"/>
    <w:next w:val="Norml"/>
    <w:link w:val="Cmsor7Char"/>
    <w:uiPriority w:val="99"/>
    <w:qFormat/>
    <w:rsid w:val="00EA7935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9"/>
    <w:qFormat/>
    <w:rsid w:val="00EA7935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EA7935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A793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9"/>
    <w:rsid w:val="00EA7935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uiPriority w:val="99"/>
    <w:rsid w:val="00EA7935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9"/>
    <w:rsid w:val="00EA793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Cmsor5Char">
    <w:name w:val="Címsor 5 Char"/>
    <w:basedOn w:val="Bekezdsalapbettpusa"/>
    <w:link w:val="Cmsor5"/>
    <w:uiPriority w:val="99"/>
    <w:rsid w:val="00EA7935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9"/>
    <w:rsid w:val="00EA7935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9"/>
    <w:rsid w:val="00EA7935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9"/>
    <w:rsid w:val="00EA7935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Cmsor9Char">
    <w:name w:val="Címsor 9 Char"/>
    <w:basedOn w:val="Bekezdsalapbettpusa"/>
    <w:link w:val="Cmsor9"/>
    <w:rsid w:val="00EA7935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lfej">
    <w:name w:val="header"/>
    <w:basedOn w:val="Norml"/>
    <w:link w:val="lfejChar"/>
    <w:rsid w:val="00EA793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EA79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behzssal">
    <w:name w:val="Body Text Indent"/>
    <w:basedOn w:val="Norml"/>
    <w:link w:val="SzvegtrzsbehzssalChar"/>
    <w:rsid w:val="00EA793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6"/>
      <w:szCs w:val="26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EA7935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llb">
    <w:name w:val="footer"/>
    <w:basedOn w:val="Norml"/>
    <w:link w:val="llbChar"/>
    <w:rsid w:val="00EA793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rsid w:val="00EA79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uiPriority w:val="99"/>
    <w:unhideWhenUsed/>
    <w:rsid w:val="00EA7935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EA7935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EA793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EA7935"/>
  </w:style>
  <w:style w:type="paragraph" w:styleId="Listaszerbekezds">
    <w:name w:val="List Paragraph"/>
    <w:basedOn w:val="Norml"/>
    <w:uiPriority w:val="34"/>
    <w:qFormat/>
    <w:rsid w:val="00B63C7C"/>
    <w:pPr>
      <w:ind w:left="720"/>
      <w:contextualSpacing/>
    </w:pPr>
  </w:style>
  <w:style w:type="paragraph" w:customStyle="1" w:styleId="Default">
    <w:name w:val="Default"/>
    <w:rsid w:val="00FB6E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7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EA7935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9"/>
    <w:qFormat/>
    <w:rsid w:val="00EA7935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9"/>
    <w:qFormat/>
    <w:rsid w:val="00EA7935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9"/>
    <w:qFormat/>
    <w:rsid w:val="00EA7935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Cmsor5">
    <w:name w:val="heading 5"/>
    <w:basedOn w:val="Norml"/>
    <w:next w:val="Norml"/>
    <w:link w:val="Cmsor5Char"/>
    <w:uiPriority w:val="99"/>
    <w:qFormat/>
    <w:rsid w:val="00EA793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Cmsor6">
    <w:name w:val="heading 6"/>
    <w:basedOn w:val="Norml"/>
    <w:next w:val="Norml"/>
    <w:link w:val="Cmsor6Char"/>
    <w:uiPriority w:val="99"/>
    <w:qFormat/>
    <w:rsid w:val="00EA7935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Cmsor7">
    <w:name w:val="heading 7"/>
    <w:basedOn w:val="Norml"/>
    <w:next w:val="Norml"/>
    <w:link w:val="Cmsor7Char"/>
    <w:uiPriority w:val="99"/>
    <w:qFormat/>
    <w:rsid w:val="00EA7935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9"/>
    <w:qFormat/>
    <w:rsid w:val="00EA7935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EA7935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A793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9"/>
    <w:rsid w:val="00EA7935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uiPriority w:val="99"/>
    <w:rsid w:val="00EA7935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9"/>
    <w:rsid w:val="00EA793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Cmsor5Char">
    <w:name w:val="Címsor 5 Char"/>
    <w:basedOn w:val="Bekezdsalapbettpusa"/>
    <w:link w:val="Cmsor5"/>
    <w:uiPriority w:val="99"/>
    <w:rsid w:val="00EA7935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9"/>
    <w:rsid w:val="00EA7935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9"/>
    <w:rsid w:val="00EA7935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9"/>
    <w:rsid w:val="00EA7935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Cmsor9Char">
    <w:name w:val="Címsor 9 Char"/>
    <w:basedOn w:val="Bekezdsalapbettpusa"/>
    <w:link w:val="Cmsor9"/>
    <w:rsid w:val="00EA7935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lfej">
    <w:name w:val="header"/>
    <w:basedOn w:val="Norml"/>
    <w:link w:val="lfejChar"/>
    <w:rsid w:val="00EA793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EA79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behzssal">
    <w:name w:val="Body Text Indent"/>
    <w:basedOn w:val="Norml"/>
    <w:link w:val="SzvegtrzsbehzssalChar"/>
    <w:rsid w:val="00EA793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6"/>
      <w:szCs w:val="26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EA7935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llb">
    <w:name w:val="footer"/>
    <w:basedOn w:val="Norml"/>
    <w:link w:val="llbChar"/>
    <w:rsid w:val="00EA793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rsid w:val="00EA79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uiPriority w:val="99"/>
    <w:unhideWhenUsed/>
    <w:rsid w:val="00EA7935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EA7935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EA793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EA7935"/>
  </w:style>
  <w:style w:type="paragraph" w:styleId="Listaszerbekezds">
    <w:name w:val="List Paragraph"/>
    <w:basedOn w:val="Norml"/>
    <w:uiPriority w:val="34"/>
    <w:qFormat/>
    <w:rsid w:val="00B63C7C"/>
    <w:pPr>
      <w:ind w:left="720"/>
      <w:contextualSpacing/>
    </w:pPr>
  </w:style>
  <w:style w:type="paragraph" w:customStyle="1" w:styleId="Default">
    <w:name w:val="Default"/>
    <w:rsid w:val="00FB6E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keltetes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3367</Words>
  <Characters>23234</Characters>
  <Application>Microsoft Office Word</Application>
  <DocSecurity>0</DocSecurity>
  <Lines>193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Pergel Beatrix</dc:creator>
  <cp:lastModifiedBy>Somogyi Laura</cp:lastModifiedBy>
  <cp:revision>2</cp:revision>
  <dcterms:created xsi:type="dcterms:W3CDTF">2016-07-13T06:58:00Z</dcterms:created>
  <dcterms:modified xsi:type="dcterms:W3CDTF">2016-07-13T06:58:00Z</dcterms:modified>
</cp:coreProperties>
</file>