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274" w:rsidRDefault="001B6274" w:rsidP="001B6274">
      <w:pPr>
        <w:rPr>
          <w:sz w:val="20"/>
        </w:rPr>
      </w:pPr>
      <w:bookmarkStart w:id="0" w:name="_GoBack"/>
      <w:bookmarkEnd w:id="0"/>
    </w:p>
    <w:p w:rsidR="00F61702" w:rsidRPr="000778BD" w:rsidRDefault="00F61702" w:rsidP="00F61702">
      <w:pPr>
        <w:pStyle w:val="Cmsor9"/>
        <w:tabs>
          <w:tab w:val="left" w:pos="0"/>
        </w:tabs>
        <w:ind w:right="39"/>
        <w:jc w:val="center"/>
        <w:rPr>
          <w:rFonts w:ascii="Times New Roman" w:hAnsi="Times New Roman"/>
          <w:b/>
          <w:sz w:val="24"/>
          <w:szCs w:val="24"/>
        </w:rPr>
      </w:pPr>
      <w:r w:rsidRPr="000778BD">
        <w:rPr>
          <w:rFonts w:ascii="Times New Roman" w:hAnsi="Times New Roman"/>
          <w:b/>
          <w:sz w:val="24"/>
          <w:szCs w:val="24"/>
        </w:rPr>
        <w:t>SEGÉDLET</w:t>
      </w:r>
    </w:p>
    <w:p w:rsidR="00F61702" w:rsidRPr="000778BD" w:rsidRDefault="00F61702" w:rsidP="00F61702">
      <w:pPr>
        <w:jc w:val="center"/>
      </w:pPr>
      <w:r w:rsidRPr="000778BD">
        <w:t>a békéltetető testületek szakmai és pénzügyi beszámolójának elkészítéséhez</w:t>
      </w:r>
    </w:p>
    <w:p w:rsidR="00F61702" w:rsidRPr="000778BD" w:rsidRDefault="00F61702" w:rsidP="00F61702">
      <w:pPr>
        <w:jc w:val="center"/>
      </w:pPr>
      <w:r w:rsidRPr="000778BD">
        <w:t>(területi kamarák részére)</w:t>
      </w:r>
    </w:p>
    <w:p w:rsidR="00F61702" w:rsidRPr="000778BD" w:rsidRDefault="00F61702" w:rsidP="00F61702"/>
    <w:p w:rsidR="00F61702" w:rsidRPr="000778BD" w:rsidRDefault="00F61702" w:rsidP="00F61702"/>
    <w:tbl>
      <w:tblPr>
        <w:tblW w:w="963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969"/>
      </w:tblGrid>
      <w:tr w:rsidR="00F61702" w:rsidRPr="000778BD" w:rsidTr="00375049">
        <w:trPr>
          <w:cantSplit/>
        </w:trPr>
        <w:tc>
          <w:tcPr>
            <w:tcW w:w="9639" w:type="dxa"/>
            <w:gridSpan w:val="2"/>
          </w:tcPr>
          <w:p w:rsidR="00F61702" w:rsidRPr="000778BD" w:rsidRDefault="00F61702" w:rsidP="00375049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Közreműködő</w:t>
            </w:r>
            <w:r w:rsidRPr="000778BD">
              <w:rPr>
                <w:iCs/>
                <w:sz w:val="20"/>
              </w:rPr>
              <w:t xml:space="preserve"> szervezet neve (támogatási szerződés szerint):</w:t>
            </w:r>
          </w:p>
          <w:p w:rsidR="00F61702" w:rsidRPr="000778BD" w:rsidRDefault="00F61702" w:rsidP="00375049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Győr-Moson-Sopron megyei Kereskedelmi és Iparkamara</w:t>
            </w:r>
          </w:p>
          <w:p w:rsidR="00F61702" w:rsidRPr="000778BD" w:rsidRDefault="00F61702" w:rsidP="00375049">
            <w:pPr>
              <w:rPr>
                <w:iCs/>
                <w:sz w:val="20"/>
              </w:rPr>
            </w:pPr>
          </w:p>
        </w:tc>
      </w:tr>
      <w:tr w:rsidR="00F61702" w:rsidRPr="000778BD" w:rsidTr="00375049">
        <w:trPr>
          <w:cantSplit/>
        </w:trPr>
        <w:tc>
          <w:tcPr>
            <w:tcW w:w="5670" w:type="dxa"/>
            <w:tcBorders>
              <w:right w:val="single" w:sz="4" w:space="0" w:color="auto"/>
            </w:tcBorders>
          </w:tcPr>
          <w:p w:rsidR="00F61702" w:rsidRPr="000778BD" w:rsidRDefault="00F61702" w:rsidP="00375049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Közreműködő</w:t>
            </w:r>
            <w:r w:rsidRPr="000778BD">
              <w:rPr>
                <w:iCs/>
                <w:sz w:val="20"/>
              </w:rPr>
              <w:t xml:space="preserve"> szervezet címe:</w:t>
            </w:r>
          </w:p>
          <w:p w:rsidR="00F61702" w:rsidRPr="000778BD" w:rsidRDefault="00F61702" w:rsidP="00375049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9021 Győr Szent István u 10/A</w:t>
            </w:r>
          </w:p>
          <w:p w:rsidR="00F61702" w:rsidRPr="000778BD" w:rsidRDefault="00F61702" w:rsidP="00375049">
            <w:pPr>
              <w:rPr>
                <w:iCs/>
                <w:sz w:val="20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F61702" w:rsidRPr="000778BD" w:rsidRDefault="00F61702" w:rsidP="00375049">
            <w:pPr>
              <w:pStyle w:val="Szvegtrzs"/>
              <w:rPr>
                <w:i/>
                <w:iCs/>
              </w:rPr>
            </w:pPr>
            <w:r w:rsidRPr="000778BD">
              <w:rPr>
                <w:iCs/>
              </w:rPr>
              <w:t>Levelezési címe:</w:t>
            </w:r>
          </w:p>
          <w:p w:rsidR="00F61702" w:rsidRPr="000778BD" w:rsidRDefault="00F61702" w:rsidP="00375049">
            <w:pPr>
              <w:rPr>
                <w:iCs/>
                <w:sz w:val="20"/>
              </w:rPr>
            </w:pPr>
          </w:p>
          <w:p w:rsidR="00F61702" w:rsidRPr="000778BD" w:rsidRDefault="00F61702" w:rsidP="00375049">
            <w:pPr>
              <w:rPr>
                <w:iCs/>
                <w:sz w:val="20"/>
              </w:rPr>
            </w:pPr>
          </w:p>
        </w:tc>
      </w:tr>
      <w:tr w:rsidR="00F61702" w:rsidRPr="000778BD" w:rsidTr="00375049">
        <w:tc>
          <w:tcPr>
            <w:tcW w:w="5670" w:type="dxa"/>
          </w:tcPr>
          <w:p w:rsidR="00F61702" w:rsidRPr="000778BD" w:rsidRDefault="00F61702" w:rsidP="00375049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Közreműködő</w:t>
            </w:r>
            <w:r w:rsidRPr="000778BD">
              <w:rPr>
                <w:iCs/>
                <w:sz w:val="20"/>
              </w:rPr>
              <w:t xml:space="preserve"> szervezet (vagy számlatulajdonos) bankszámlaszáma:</w:t>
            </w:r>
          </w:p>
          <w:p w:rsidR="00F61702" w:rsidRPr="000778BD" w:rsidRDefault="00F61702" w:rsidP="00375049">
            <w:pPr>
              <w:rPr>
                <w:iCs/>
                <w:sz w:val="20"/>
              </w:rPr>
            </w:pPr>
          </w:p>
          <w:p w:rsidR="00F61702" w:rsidRPr="000778BD" w:rsidRDefault="00F61702" w:rsidP="00375049">
            <w:pPr>
              <w:rPr>
                <w:iCs/>
                <w:sz w:val="20"/>
              </w:rPr>
            </w:pPr>
            <w:r w:rsidRPr="000778BD">
              <w:rPr>
                <w:iCs/>
                <w:sz w:val="20"/>
              </w:rPr>
              <w:t>_</w:t>
            </w:r>
            <w:r>
              <w:rPr>
                <w:iCs/>
                <w:sz w:val="20"/>
              </w:rPr>
              <w:t>10300002-33214690-00003285</w:t>
            </w:r>
            <w:r w:rsidRPr="000778BD">
              <w:rPr>
                <w:iCs/>
                <w:sz w:val="20"/>
              </w:rPr>
              <w:t>_  _-_  _  _  _  _  _  _ _</w:t>
            </w:r>
          </w:p>
          <w:p w:rsidR="00F61702" w:rsidRPr="000778BD" w:rsidRDefault="00F61702" w:rsidP="00375049">
            <w:pPr>
              <w:rPr>
                <w:iCs/>
                <w:sz w:val="20"/>
              </w:rPr>
            </w:pPr>
          </w:p>
        </w:tc>
        <w:tc>
          <w:tcPr>
            <w:tcW w:w="3969" w:type="dxa"/>
          </w:tcPr>
          <w:p w:rsidR="00F61702" w:rsidRPr="000778BD" w:rsidRDefault="00F61702" w:rsidP="00375049">
            <w:pPr>
              <w:pStyle w:val="llb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Közreműködő</w:t>
            </w:r>
            <w:r w:rsidRPr="000778BD">
              <w:rPr>
                <w:sz w:val="20"/>
              </w:rPr>
              <w:t xml:space="preserve"> adószáma:</w:t>
            </w:r>
          </w:p>
          <w:p w:rsidR="00F61702" w:rsidRPr="005356C1" w:rsidRDefault="00F61702" w:rsidP="00375049">
            <w:pPr>
              <w:pStyle w:val="llb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18529186-2-08</w:t>
            </w:r>
          </w:p>
          <w:p w:rsidR="00F61702" w:rsidRPr="000778BD" w:rsidRDefault="00F61702" w:rsidP="00375049">
            <w:pPr>
              <w:pStyle w:val="llb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</w:tr>
      <w:tr w:rsidR="00F61702" w:rsidRPr="000778BD" w:rsidTr="00375049">
        <w:trPr>
          <w:trHeight w:val="452"/>
        </w:trPr>
        <w:tc>
          <w:tcPr>
            <w:tcW w:w="9639" w:type="dxa"/>
            <w:gridSpan w:val="2"/>
            <w:vAlign w:val="bottom"/>
          </w:tcPr>
          <w:p w:rsidR="00F61702" w:rsidRPr="000778BD" w:rsidRDefault="00F61702" w:rsidP="00F61702">
            <w:pPr>
              <w:rPr>
                <w:iCs/>
                <w:position w:val="-6"/>
                <w:sz w:val="20"/>
              </w:rPr>
            </w:pPr>
            <w:r w:rsidRPr="000778BD">
              <w:rPr>
                <w:position w:val="-6"/>
                <w:sz w:val="20"/>
              </w:rPr>
              <w:t>Szerződés szám:</w:t>
            </w:r>
            <w:r w:rsidR="00D20E4F">
              <w:rPr>
                <w:position w:val="-6"/>
              </w:rPr>
              <w:t xml:space="preserve"> FOHÁT/ 352/2015-NFM_SZERZ</w:t>
            </w:r>
          </w:p>
        </w:tc>
      </w:tr>
      <w:tr w:rsidR="00F61702" w:rsidRPr="000778BD" w:rsidTr="00375049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9639" w:type="dxa"/>
            <w:gridSpan w:val="2"/>
          </w:tcPr>
          <w:p w:rsidR="00F61702" w:rsidRPr="000778BD" w:rsidRDefault="00F61702" w:rsidP="00375049">
            <w:pPr>
              <w:rPr>
                <w:b/>
                <w:iCs/>
                <w:sz w:val="20"/>
              </w:rPr>
            </w:pPr>
            <w:r w:rsidRPr="000778BD">
              <w:rPr>
                <w:iCs/>
                <w:sz w:val="20"/>
              </w:rPr>
              <w:t xml:space="preserve">A megvalósított feladat címe: </w:t>
            </w:r>
            <w:r w:rsidRPr="000778BD">
              <w:rPr>
                <w:b/>
                <w:iCs/>
                <w:sz w:val="20"/>
              </w:rPr>
              <w:t>A területi gazdasági kamarák mellett működő füg</w:t>
            </w:r>
            <w:r w:rsidR="00057A4B">
              <w:rPr>
                <w:b/>
                <w:iCs/>
                <w:sz w:val="20"/>
              </w:rPr>
              <w:t>getlen békéltető testületek 2015</w:t>
            </w:r>
            <w:r w:rsidRPr="000778BD">
              <w:rPr>
                <w:b/>
                <w:iCs/>
                <w:sz w:val="20"/>
              </w:rPr>
              <w:t>. évi működtetési kiadásokhoz és költségekhez pénzügyi támogatás nyújtása</w:t>
            </w:r>
          </w:p>
          <w:p w:rsidR="00F61702" w:rsidRPr="000778BD" w:rsidRDefault="00F61702" w:rsidP="00375049">
            <w:pPr>
              <w:rPr>
                <w:iCs/>
                <w:sz w:val="20"/>
              </w:rPr>
            </w:pPr>
          </w:p>
        </w:tc>
      </w:tr>
    </w:tbl>
    <w:p w:rsidR="00F61702" w:rsidRPr="000778BD" w:rsidRDefault="00F61702" w:rsidP="00F61702">
      <w:pPr>
        <w:tabs>
          <w:tab w:val="left" w:pos="1576"/>
        </w:tabs>
        <w:rPr>
          <w:iCs/>
          <w:sz w:val="20"/>
        </w:rPr>
      </w:pPr>
    </w:p>
    <w:p w:rsidR="00F61702" w:rsidRPr="000778BD" w:rsidRDefault="00F61702" w:rsidP="00F61702">
      <w:pPr>
        <w:jc w:val="center"/>
        <w:rPr>
          <w:sz w:val="20"/>
        </w:rPr>
      </w:pPr>
    </w:p>
    <w:p w:rsidR="00F61702" w:rsidRPr="000778BD" w:rsidRDefault="00F61702" w:rsidP="00F61702">
      <w:pPr>
        <w:jc w:val="center"/>
        <w:rPr>
          <w:b/>
        </w:rPr>
      </w:pPr>
      <w:r w:rsidRPr="000778BD">
        <w:rPr>
          <w:b/>
        </w:rPr>
        <w:t>I. rész</w:t>
      </w:r>
    </w:p>
    <w:p w:rsidR="00F61702" w:rsidRPr="000778BD" w:rsidRDefault="00F61702" w:rsidP="00F61702">
      <w:pPr>
        <w:rPr>
          <w:sz w:val="20"/>
        </w:rPr>
      </w:pPr>
    </w:p>
    <w:p w:rsidR="00F61702" w:rsidRDefault="00F61702" w:rsidP="001B6274">
      <w:pPr>
        <w:rPr>
          <w:sz w:val="20"/>
        </w:rPr>
      </w:pPr>
    </w:p>
    <w:p w:rsidR="00F61702" w:rsidRPr="000778BD" w:rsidRDefault="00F61702" w:rsidP="001B6274">
      <w:pPr>
        <w:rPr>
          <w:sz w:val="20"/>
        </w:rPr>
      </w:pPr>
    </w:p>
    <w:p w:rsidR="001B6274" w:rsidRPr="000778BD" w:rsidRDefault="001B6274" w:rsidP="001B6274">
      <w:pPr>
        <w:jc w:val="center"/>
        <w:rPr>
          <w:b/>
          <w:bCs/>
        </w:rPr>
      </w:pPr>
      <w:r w:rsidRPr="000778BD">
        <w:rPr>
          <w:b/>
          <w:bCs/>
        </w:rPr>
        <w:t>Szakmai beszámoló</w:t>
      </w:r>
    </w:p>
    <w:p w:rsidR="001B6274" w:rsidRPr="000778BD" w:rsidRDefault="001B6274" w:rsidP="001B6274">
      <w:pPr>
        <w:jc w:val="center"/>
        <w:rPr>
          <w:b/>
          <w:bCs/>
        </w:rPr>
      </w:pPr>
      <w:r w:rsidRPr="000778BD">
        <w:rPr>
          <w:b/>
          <w:bCs/>
        </w:rPr>
        <w:t xml:space="preserve"> </w:t>
      </w:r>
      <w:r w:rsidR="00F61702">
        <w:rPr>
          <w:b/>
          <w:bCs/>
        </w:rPr>
        <w:t xml:space="preserve">Győr-Moson-Sopron megyei </w:t>
      </w:r>
      <w:r>
        <w:rPr>
          <w:b/>
          <w:bCs/>
        </w:rPr>
        <w:t xml:space="preserve">békéltető </w:t>
      </w:r>
      <w:r w:rsidR="004345C4">
        <w:rPr>
          <w:b/>
          <w:bCs/>
        </w:rPr>
        <w:t>testület 2015</w:t>
      </w:r>
      <w:r w:rsidRPr="000778BD">
        <w:rPr>
          <w:b/>
          <w:bCs/>
        </w:rPr>
        <w:t xml:space="preserve">. év meghatározott finanszírozási időszakaiban </w:t>
      </w:r>
      <w:r w:rsidR="00F61702">
        <w:rPr>
          <w:b/>
          <w:bCs/>
        </w:rPr>
        <w:t>I</w:t>
      </w:r>
      <w:r w:rsidR="009F6CDE">
        <w:rPr>
          <w:b/>
          <w:bCs/>
        </w:rPr>
        <w:t>I</w:t>
      </w:r>
      <w:r w:rsidR="00F61702">
        <w:rPr>
          <w:b/>
          <w:bCs/>
        </w:rPr>
        <w:t>.félév</w:t>
      </w:r>
      <w:r w:rsidR="00BF5DC1">
        <w:rPr>
          <w:b/>
          <w:bCs/>
        </w:rPr>
        <w:t>ben</w:t>
      </w:r>
      <w:r w:rsidR="00F61702">
        <w:rPr>
          <w:b/>
          <w:bCs/>
        </w:rPr>
        <w:t xml:space="preserve"> </w:t>
      </w:r>
      <w:r w:rsidRPr="000778BD">
        <w:rPr>
          <w:b/>
          <w:bCs/>
        </w:rPr>
        <w:t>végzett tevékenységéről</w:t>
      </w:r>
    </w:p>
    <w:p w:rsidR="001B6274" w:rsidRPr="000778BD" w:rsidRDefault="001B6274" w:rsidP="001B6274">
      <w:pPr>
        <w:rPr>
          <w:b/>
          <w:sz w:val="20"/>
        </w:rPr>
      </w:pPr>
    </w:p>
    <w:tbl>
      <w:tblPr>
        <w:tblW w:w="964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4"/>
        <w:gridCol w:w="4856"/>
      </w:tblGrid>
      <w:tr w:rsidR="001B6274" w:rsidRPr="000778BD" w:rsidTr="005E3087">
        <w:trPr>
          <w:cantSplit/>
        </w:trPr>
        <w:tc>
          <w:tcPr>
            <w:tcW w:w="4784" w:type="dxa"/>
          </w:tcPr>
          <w:p w:rsidR="001B6274" w:rsidRPr="000778BD" w:rsidRDefault="001B6274" w:rsidP="005E3087">
            <w:pPr>
              <w:pStyle w:val="Szvegtrzsbehzssal"/>
              <w:ind w:left="57"/>
              <w:rPr>
                <w:sz w:val="20"/>
              </w:rPr>
            </w:pPr>
            <w:r w:rsidRPr="000778BD">
              <w:rPr>
                <w:sz w:val="20"/>
              </w:rPr>
              <w:t>A szakmai beszámolót készítő személy neve:</w:t>
            </w:r>
          </w:p>
          <w:p w:rsidR="001B6274" w:rsidRPr="000778BD" w:rsidRDefault="00F61702" w:rsidP="005E3087">
            <w:pPr>
              <w:pStyle w:val="Szvegtrzsbehzssal"/>
              <w:ind w:left="57"/>
              <w:rPr>
                <w:sz w:val="20"/>
              </w:rPr>
            </w:pPr>
            <w:r>
              <w:rPr>
                <w:sz w:val="20"/>
              </w:rPr>
              <w:t>Horváth László</w:t>
            </w:r>
          </w:p>
          <w:p w:rsidR="001B6274" w:rsidRPr="000778BD" w:rsidRDefault="001B6274" w:rsidP="005E3087">
            <w:pPr>
              <w:rPr>
                <w:bCs/>
                <w:i/>
                <w:iCs/>
                <w:sz w:val="20"/>
              </w:rPr>
            </w:pPr>
          </w:p>
        </w:tc>
        <w:tc>
          <w:tcPr>
            <w:tcW w:w="4856" w:type="dxa"/>
          </w:tcPr>
          <w:p w:rsidR="001B6274" w:rsidRPr="000778BD" w:rsidRDefault="001B6274" w:rsidP="005E3087">
            <w:pPr>
              <w:rPr>
                <w:bCs/>
                <w:i/>
                <w:iCs/>
                <w:sz w:val="20"/>
              </w:rPr>
            </w:pPr>
            <w:r w:rsidRPr="000778BD">
              <w:rPr>
                <w:bCs/>
                <w:i/>
                <w:iCs/>
                <w:sz w:val="20"/>
              </w:rPr>
              <w:t>A beszámolót készítő személy telefonszáma:</w:t>
            </w:r>
          </w:p>
          <w:p w:rsidR="001B6274" w:rsidRPr="000778BD" w:rsidRDefault="00F61702" w:rsidP="005E3087">
            <w:pPr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  <w:t>06 30 5727610</w:t>
            </w:r>
          </w:p>
          <w:p w:rsidR="001B6274" w:rsidRPr="000778BD" w:rsidRDefault="001B6274" w:rsidP="005E3087">
            <w:pPr>
              <w:rPr>
                <w:bCs/>
                <w:i/>
                <w:iCs/>
                <w:sz w:val="20"/>
              </w:rPr>
            </w:pPr>
          </w:p>
        </w:tc>
      </w:tr>
      <w:tr w:rsidR="001B6274" w:rsidRPr="000778BD" w:rsidTr="005E3087">
        <w:trPr>
          <w:cantSplit/>
        </w:trPr>
        <w:tc>
          <w:tcPr>
            <w:tcW w:w="4784" w:type="dxa"/>
          </w:tcPr>
          <w:p w:rsidR="001B6274" w:rsidRPr="000778BD" w:rsidRDefault="001B6274" w:rsidP="005E3087">
            <w:pPr>
              <w:rPr>
                <w:bCs/>
                <w:i/>
                <w:iCs/>
                <w:sz w:val="20"/>
              </w:rPr>
            </w:pPr>
          </w:p>
        </w:tc>
        <w:tc>
          <w:tcPr>
            <w:tcW w:w="4856" w:type="dxa"/>
          </w:tcPr>
          <w:p w:rsidR="001B6274" w:rsidRPr="000778BD" w:rsidRDefault="001B6274" w:rsidP="005E3087">
            <w:pPr>
              <w:rPr>
                <w:bCs/>
                <w:i/>
                <w:iCs/>
                <w:sz w:val="20"/>
              </w:rPr>
            </w:pPr>
          </w:p>
        </w:tc>
      </w:tr>
    </w:tbl>
    <w:p w:rsidR="001B6274" w:rsidRPr="000778BD" w:rsidRDefault="001B6274" w:rsidP="001B6274">
      <w:pPr>
        <w:tabs>
          <w:tab w:val="left" w:pos="10602"/>
        </w:tabs>
        <w:ind w:right="882"/>
        <w:jc w:val="both"/>
        <w:rPr>
          <w:b/>
          <w:sz w:val="20"/>
        </w:rPr>
      </w:pPr>
      <w:r w:rsidRPr="000778BD">
        <w:rPr>
          <w:b/>
          <w:sz w:val="20"/>
        </w:rPr>
        <w:t xml:space="preserve">A statisztikai adatlapok kitöltése és a részletes szöveges szakmai beszámoló elkészítése minden egyes (szerződésben előre meghatározott) finanszírozási időszakban benyújtott beszámolóhoz szükséges. Az adatlapokat a </w:t>
      </w:r>
      <w:hyperlink r:id="rId7" w:history="1">
        <w:r w:rsidRPr="000778BD">
          <w:rPr>
            <w:rStyle w:val="Hiperhivatkozs"/>
            <w:b/>
            <w:sz w:val="20"/>
          </w:rPr>
          <w:t>www.bekeltetes.hu</w:t>
        </w:r>
      </w:hyperlink>
      <w:r w:rsidRPr="000778BD">
        <w:rPr>
          <w:b/>
          <w:sz w:val="20"/>
        </w:rPr>
        <w:t xml:space="preserve"> honlapon lévő program használatával kell kitölteni. Amennyiben az adott finanszírozási időszakban a kérdés nem releváns, kérjük, nyilatkozzanak erről (pl. promóciót nem valósítottak meg a kérdéses időszakban). A válaszoknál a sorok bővíthetők.</w:t>
      </w:r>
    </w:p>
    <w:p w:rsidR="001B6274" w:rsidRPr="000778BD" w:rsidRDefault="001B6274" w:rsidP="001B6274">
      <w:pPr>
        <w:rPr>
          <w:b/>
          <w:sz w:val="20"/>
        </w:rPr>
      </w:pPr>
    </w:p>
    <w:tbl>
      <w:tblPr>
        <w:tblW w:w="964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2"/>
        <w:gridCol w:w="28"/>
      </w:tblGrid>
      <w:tr w:rsidR="001B6274" w:rsidRPr="000778BD" w:rsidTr="005E3087">
        <w:trPr>
          <w:cantSplit/>
          <w:trHeight w:val="397"/>
        </w:trPr>
        <w:tc>
          <w:tcPr>
            <w:tcW w:w="9640" w:type="dxa"/>
            <w:gridSpan w:val="2"/>
            <w:tcBorders>
              <w:bottom w:val="single" w:sz="4" w:space="0" w:color="auto"/>
            </w:tcBorders>
            <w:shd w:val="clear" w:color="auto" w:fill="C0C0C0"/>
          </w:tcPr>
          <w:p w:rsidR="001B6274" w:rsidRPr="000778BD" w:rsidRDefault="004345C4" w:rsidP="005E308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1. Ismertesse 2015</w:t>
            </w:r>
            <w:r w:rsidR="001B6274" w:rsidRPr="000778BD">
              <w:rPr>
                <w:b/>
                <w:bCs/>
                <w:i/>
                <w:iCs/>
                <w:sz w:val="20"/>
              </w:rPr>
              <w:t>. évhez/előző finanszírozási időszakhoz képest a testületben történt lényegesebb változásokat! (A testület létszáma, összetétele, működési feltételei, stb.)</w:t>
            </w:r>
          </w:p>
        </w:tc>
      </w:tr>
      <w:tr w:rsidR="001B6274" w:rsidRPr="000778BD" w:rsidTr="005E3087">
        <w:trPr>
          <w:cantSplit/>
          <w:trHeight w:val="862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74" w:rsidRDefault="001B6274" w:rsidP="005E3087">
            <w:pPr>
              <w:rPr>
                <w:bCs/>
                <w:i/>
                <w:iCs/>
                <w:sz w:val="20"/>
              </w:rPr>
            </w:pPr>
          </w:p>
          <w:p w:rsidR="001B6274" w:rsidRPr="000778BD" w:rsidRDefault="000E7A27" w:rsidP="005E3087">
            <w:pPr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  <w:t>A testület létszáma nem változott</w:t>
            </w:r>
            <w:r w:rsidR="009F6CDE">
              <w:rPr>
                <w:bCs/>
                <w:i/>
                <w:iCs/>
                <w:sz w:val="20"/>
              </w:rPr>
              <w:t>, továbbra is 26 fő</w:t>
            </w:r>
            <w:r>
              <w:rPr>
                <w:bCs/>
                <w:i/>
                <w:iCs/>
                <w:sz w:val="20"/>
              </w:rPr>
              <w:t>. Elhelyezési lehetőség</w:t>
            </w:r>
            <w:r w:rsidR="00492C4E">
              <w:rPr>
                <w:bCs/>
                <w:i/>
                <w:iCs/>
                <w:sz w:val="20"/>
              </w:rPr>
              <w:t>ünk nem változott. Továbbra is megfelelő feladataink ellátásához.</w:t>
            </w:r>
          </w:p>
          <w:p w:rsidR="001B6274" w:rsidRPr="000778BD" w:rsidRDefault="001B6274" w:rsidP="005E3087">
            <w:pPr>
              <w:rPr>
                <w:bCs/>
                <w:i/>
                <w:iCs/>
                <w:sz w:val="20"/>
              </w:rPr>
            </w:pPr>
          </w:p>
        </w:tc>
      </w:tr>
      <w:tr w:rsidR="001B6274" w:rsidRPr="000778BD" w:rsidTr="005E3087">
        <w:trPr>
          <w:cantSplit/>
          <w:trHeight w:val="397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1B6274" w:rsidRPr="000778BD" w:rsidRDefault="001B6274" w:rsidP="005E3087">
            <w:pPr>
              <w:tabs>
                <w:tab w:val="left" w:pos="5490"/>
              </w:tabs>
              <w:rPr>
                <w:b/>
                <w:bCs/>
                <w:i/>
                <w:iCs/>
                <w:sz w:val="20"/>
              </w:rPr>
            </w:pPr>
            <w:r w:rsidRPr="000778BD">
              <w:rPr>
                <w:b/>
                <w:bCs/>
                <w:i/>
                <w:iCs/>
                <w:sz w:val="20"/>
              </w:rPr>
              <w:t>2. Szövegesen értékelje a statisztikai adatokat! A 2.1.-2.3 kérdések megválaszolása során mutassa be az adatok mögötti eseményeket, tapasztalatokat, változások okait.</w:t>
            </w:r>
          </w:p>
        </w:tc>
      </w:tr>
      <w:tr w:rsidR="001B6274" w:rsidRPr="000778BD" w:rsidTr="005E3087">
        <w:trPr>
          <w:cantSplit/>
          <w:trHeight w:val="713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6274" w:rsidRPr="000778BD" w:rsidRDefault="001B6274" w:rsidP="005E3087">
            <w:pPr>
              <w:rPr>
                <w:bCs/>
                <w:i/>
                <w:iCs/>
                <w:sz w:val="20"/>
              </w:rPr>
            </w:pPr>
          </w:p>
          <w:p w:rsidR="001B6274" w:rsidRPr="000778BD" w:rsidRDefault="000E7A27" w:rsidP="005E3087">
            <w:pPr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  <w:t xml:space="preserve">Beérkezett panaszok száma </w:t>
            </w:r>
            <w:r w:rsidR="009F6CDE">
              <w:rPr>
                <w:bCs/>
                <w:i/>
                <w:iCs/>
                <w:sz w:val="20"/>
              </w:rPr>
              <w:t xml:space="preserve">az előző évihez </w:t>
            </w:r>
            <w:r w:rsidR="001A7DEC">
              <w:rPr>
                <w:bCs/>
                <w:i/>
                <w:iCs/>
                <w:sz w:val="20"/>
              </w:rPr>
              <w:t>hasonlóan</w:t>
            </w:r>
            <w:r w:rsidR="009F6CDE">
              <w:rPr>
                <w:bCs/>
                <w:i/>
                <w:iCs/>
                <w:sz w:val="20"/>
              </w:rPr>
              <w:t xml:space="preserve"> alakult. Míg tavaly az összes lezárt ügy darabszáma </w:t>
            </w:r>
            <w:r w:rsidR="004345C4">
              <w:rPr>
                <w:bCs/>
                <w:i/>
                <w:iCs/>
                <w:sz w:val="20"/>
              </w:rPr>
              <w:t>425</w:t>
            </w:r>
            <w:r w:rsidR="009F6CDE">
              <w:rPr>
                <w:bCs/>
                <w:i/>
                <w:iCs/>
                <w:sz w:val="20"/>
              </w:rPr>
              <w:t xml:space="preserve"> addig az idén </w:t>
            </w:r>
            <w:r w:rsidR="004345C4">
              <w:rPr>
                <w:bCs/>
                <w:i/>
                <w:iCs/>
                <w:sz w:val="20"/>
              </w:rPr>
              <w:t>470</w:t>
            </w:r>
            <w:r w:rsidR="009F6CDE">
              <w:rPr>
                <w:bCs/>
                <w:i/>
                <w:iCs/>
                <w:sz w:val="20"/>
              </w:rPr>
              <w:t xml:space="preserve"> darab volt.</w:t>
            </w:r>
            <w:r>
              <w:rPr>
                <w:bCs/>
                <w:i/>
                <w:iCs/>
                <w:sz w:val="20"/>
              </w:rPr>
              <w:t xml:space="preserve">. </w:t>
            </w:r>
            <w:r w:rsidR="009F6CDE">
              <w:rPr>
                <w:bCs/>
                <w:i/>
                <w:iCs/>
                <w:sz w:val="20"/>
              </w:rPr>
              <w:t>Az idei év</w:t>
            </w:r>
            <w:r w:rsidR="00BF5DC1">
              <w:rPr>
                <w:bCs/>
                <w:i/>
                <w:iCs/>
                <w:sz w:val="20"/>
              </w:rPr>
              <w:t xml:space="preserve"> </w:t>
            </w:r>
            <w:r w:rsidR="001A7DEC">
              <w:rPr>
                <w:bCs/>
                <w:i/>
                <w:iCs/>
                <w:sz w:val="20"/>
              </w:rPr>
              <w:t xml:space="preserve">második felében az első félévhez képest megnőtt a lezárt ügyek száma </w:t>
            </w:r>
            <w:r w:rsidR="004345C4">
              <w:rPr>
                <w:bCs/>
                <w:i/>
                <w:iCs/>
                <w:sz w:val="20"/>
              </w:rPr>
              <w:t>195</w:t>
            </w:r>
            <w:r w:rsidR="001A7DEC">
              <w:rPr>
                <w:bCs/>
                <w:i/>
                <w:iCs/>
                <w:sz w:val="20"/>
              </w:rPr>
              <w:t xml:space="preserve"> – ről </w:t>
            </w:r>
            <w:r w:rsidR="004345C4">
              <w:rPr>
                <w:bCs/>
                <w:i/>
                <w:iCs/>
                <w:sz w:val="20"/>
              </w:rPr>
              <w:t>275</w:t>
            </w:r>
            <w:r w:rsidR="001A7DEC">
              <w:rPr>
                <w:bCs/>
                <w:i/>
                <w:iCs/>
                <w:sz w:val="20"/>
              </w:rPr>
              <w:t>- re.</w:t>
            </w:r>
          </w:p>
          <w:p w:rsidR="001B6274" w:rsidRPr="000778BD" w:rsidRDefault="001B6274" w:rsidP="005E3087">
            <w:pPr>
              <w:rPr>
                <w:bCs/>
                <w:i/>
                <w:iCs/>
                <w:sz w:val="20"/>
              </w:rPr>
            </w:pPr>
          </w:p>
          <w:p w:rsidR="001B6274" w:rsidRPr="000778BD" w:rsidRDefault="001B6274" w:rsidP="005E3087">
            <w:pPr>
              <w:rPr>
                <w:bCs/>
                <w:i/>
                <w:iCs/>
                <w:sz w:val="20"/>
              </w:rPr>
            </w:pPr>
          </w:p>
        </w:tc>
      </w:tr>
      <w:tr w:rsidR="001B6274" w:rsidRPr="000778BD" w:rsidTr="005E3087">
        <w:trPr>
          <w:cantSplit/>
          <w:trHeight w:val="713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6274" w:rsidRPr="000778BD" w:rsidRDefault="001B6274" w:rsidP="005E3087">
            <w:pPr>
              <w:pBdr>
                <w:bottom w:val="single" w:sz="4" w:space="1" w:color="auto"/>
              </w:pBdr>
              <w:jc w:val="both"/>
              <w:rPr>
                <w:b/>
                <w:bCs/>
                <w:i/>
                <w:iCs/>
                <w:sz w:val="20"/>
                <w:highlight w:val="lightGray"/>
              </w:rPr>
            </w:pPr>
            <w:r w:rsidRPr="000778BD">
              <w:rPr>
                <w:b/>
                <w:bCs/>
                <w:i/>
                <w:iCs/>
                <w:sz w:val="20"/>
                <w:highlight w:val="lightGray"/>
              </w:rPr>
              <w:lastRenderedPageBreak/>
              <w:t>2.1. A ügyek tárgya szerinti bontásának megfelelően (M2 számú melléklet) ismertesse a főbb panasz okokat, milyen panaszok mögött húzódnak meg valószínűsíthetően nagyobb fogyasztói érdeksérelemre utaló jelenségek, e tekintetben volt e változás az előző finanszírozási időszakhoz képest, előfordultak-e, s ha igen milyen korábban nem tapasztalt problémák, panaszok. A problémák leküzdése érdekében milyen intézkedéseket javasolnak (jogszabály-módosítás, egyeztetés az érintett szakmai érdekképviseleti szervezetekkel, fogyasztók tájékoztatása, fokozottabb hatósági fellépés, stb.)</w:t>
            </w:r>
          </w:p>
          <w:p w:rsidR="000E7A27" w:rsidRPr="00521E38" w:rsidRDefault="000E7A27" w:rsidP="000E7A27">
            <w:pPr>
              <w:jc w:val="both"/>
              <w:rPr>
                <w:bCs/>
                <w:i/>
                <w:iCs/>
                <w:sz w:val="20"/>
              </w:rPr>
            </w:pPr>
            <w:r w:rsidRPr="00521E38">
              <w:rPr>
                <w:bCs/>
                <w:i/>
                <w:iCs/>
                <w:sz w:val="20"/>
              </w:rPr>
              <w:t xml:space="preserve">Az ügyek megoszlása a termékek </w:t>
            </w:r>
            <w:r w:rsidR="00492C4E" w:rsidRPr="00521E38">
              <w:rPr>
                <w:bCs/>
                <w:i/>
                <w:iCs/>
                <w:sz w:val="20"/>
              </w:rPr>
              <w:t>189</w:t>
            </w:r>
            <w:r w:rsidRPr="00521E38">
              <w:rPr>
                <w:bCs/>
                <w:i/>
                <w:iCs/>
                <w:sz w:val="20"/>
              </w:rPr>
              <w:t xml:space="preserve"> db és szolgáltatások </w:t>
            </w:r>
            <w:r w:rsidR="00492C4E" w:rsidRPr="00521E38">
              <w:rPr>
                <w:bCs/>
                <w:i/>
                <w:iCs/>
                <w:sz w:val="20"/>
              </w:rPr>
              <w:t>85db ( éves szinten termék 327 szolgáltatás 143 )</w:t>
            </w:r>
            <w:r w:rsidRPr="00521E38">
              <w:rPr>
                <w:bCs/>
                <w:i/>
                <w:iCs/>
                <w:sz w:val="20"/>
              </w:rPr>
              <w:t xml:space="preserve"> </w:t>
            </w:r>
            <w:r w:rsidR="000A7F75" w:rsidRPr="00521E38">
              <w:rPr>
                <w:bCs/>
                <w:i/>
                <w:iCs/>
                <w:sz w:val="20"/>
              </w:rPr>
              <w:t>ami a termék panaszok jelentős növekedését mutatja.</w:t>
            </w:r>
            <w:r w:rsidRPr="00521E38">
              <w:rPr>
                <w:bCs/>
                <w:i/>
                <w:iCs/>
                <w:sz w:val="20"/>
              </w:rPr>
              <w:t>..</w:t>
            </w:r>
          </w:p>
          <w:p w:rsidR="000A7F75" w:rsidRPr="00521E38" w:rsidRDefault="000A7F75" w:rsidP="000E7A27">
            <w:pPr>
              <w:jc w:val="both"/>
              <w:rPr>
                <w:bCs/>
                <w:i/>
                <w:iCs/>
                <w:sz w:val="20"/>
              </w:rPr>
            </w:pPr>
            <w:r w:rsidRPr="00521E38">
              <w:rPr>
                <w:bCs/>
                <w:i/>
                <w:iCs/>
                <w:sz w:val="20"/>
              </w:rPr>
              <w:t xml:space="preserve">A növekedés fő oka, hogy </w:t>
            </w:r>
            <w:r w:rsidR="001A7DEC" w:rsidRPr="00521E38">
              <w:rPr>
                <w:bCs/>
                <w:i/>
                <w:iCs/>
                <w:sz w:val="20"/>
              </w:rPr>
              <w:t>a termékek</w:t>
            </w:r>
            <w:r w:rsidR="000E7A27" w:rsidRPr="00521E38">
              <w:rPr>
                <w:bCs/>
                <w:i/>
                <w:iCs/>
                <w:sz w:val="20"/>
              </w:rPr>
              <w:t xml:space="preserve"> területén továbbra is sláger a cipőpanasz /</w:t>
            </w:r>
            <w:r w:rsidR="00492C4E" w:rsidRPr="00521E38">
              <w:rPr>
                <w:bCs/>
                <w:i/>
                <w:iCs/>
                <w:sz w:val="20"/>
              </w:rPr>
              <w:t>49</w:t>
            </w:r>
            <w:r w:rsidR="000E7A27" w:rsidRPr="00521E38">
              <w:rPr>
                <w:bCs/>
                <w:i/>
                <w:iCs/>
                <w:sz w:val="20"/>
              </w:rPr>
              <w:t xml:space="preserve">/ </w:t>
            </w:r>
            <w:r w:rsidRPr="00521E38">
              <w:rPr>
                <w:bCs/>
                <w:i/>
                <w:iCs/>
                <w:sz w:val="20"/>
              </w:rPr>
              <w:t>Ez kétszerese a tavalyi adatnak.</w:t>
            </w:r>
            <w:r w:rsidR="00441422" w:rsidRPr="00521E38">
              <w:rPr>
                <w:bCs/>
                <w:i/>
                <w:iCs/>
                <w:sz w:val="20"/>
              </w:rPr>
              <w:t xml:space="preserve"> A</w:t>
            </w:r>
            <w:r w:rsidR="001A7DEC" w:rsidRPr="00521E38">
              <w:rPr>
                <w:bCs/>
                <w:i/>
                <w:iCs/>
                <w:sz w:val="20"/>
              </w:rPr>
              <w:t xml:space="preserve"> távközlés /mobil telefonok </w:t>
            </w:r>
            <w:r w:rsidRPr="00521E38">
              <w:rPr>
                <w:bCs/>
                <w:i/>
                <w:iCs/>
                <w:sz w:val="20"/>
              </w:rPr>
              <w:t xml:space="preserve">területén </w:t>
            </w:r>
            <w:r w:rsidR="00441422" w:rsidRPr="00521E38">
              <w:rPr>
                <w:bCs/>
                <w:i/>
                <w:iCs/>
                <w:sz w:val="20"/>
              </w:rPr>
              <w:t xml:space="preserve">is sok probléma </w:t>
            </w:r>
            <w:r w:rsidRPr="00521E38">
              <w:rPr>
                <w:bCs/>
                <w:i/>
                <w:iCs/>
                <w:sz w:val="20"/>
              </w:rPr>
              <w:t>tapasztalható</w:t>
            </w:r>
            <w:r w:rsidR="001A7DEC" w:rsidRPr="00521E38">
              <w:rPr>
                <w:bCs/>
                <w:i/>
                <w:iCs/>
                <w:sz w:val="20"/>
              </w:rPr>
              <w:t>. (</w:t>
            </w:r>
            <w:r w:rsidR="00492C4E" w:rsidRPr="00521E38">
              <w:rPr>
                <w:bCs/>
                <w:i/>
                <w:iCs/>
                <w:sz w:val="20"/>
              </w:rPr>
              <w:t>27</w:t>
            </w:r>
            <w:r w:rsidR="001A7DEC" w:rsidRPr="00521E38">
              <w:rPr>
                <w:bCs/>
                <w:i/>
                <w:iCs/>
                <w:sz w:val="20"/>
              </w:rPr>
              <w:t xml:space="preserve"> készülék panasz)</w:t>
            </w:r>
          </w:p>
          <w:p w:rsidR="000E7A27" w:rsidRPr="00521E38" w:rsidRDefault="000A7F75" w:rsidP="000E7A27">
            <w:pPr>
              <w:jc w:val="both"/>
              <w:rPr>
                <w:bCs/>
                <w:i/>
                <w:iCs/>
                <w:sz w:val="20"/>
              </w:rPr>
            </w:pPr>
            <w:r w:rsidRPr="00521E38">
              <w:rPr>
                <w:bCs/>
                <w:i/>
                <w:iCs/>
                <w:sz w:val="20"/>
              </w:rPr>
              <w:t xml:space="preserve"> </w:t>
            </w:r>
            <w:r w:rsidR="000E7A27" w:rsidRPr="00521E38">
              <w:rPr>
                <w:bCs/>
                <w:i/>
                <w:iCs/>
                <w:sz w:val="20"/>
              </w:rPr>
              <w:t>Visszatérő gond, hogy a mobil telefonok esetében a javító szerviz önmagát mint szakértő intézetet vélelmezi és sok esetben automatikusan megvonják a készülékek garanciáját.</w:t>
            </w:r>
          </w:p>
          <w:p w:rsidR="000E7A27" w:rsidRPr="00521E38" w:rsidRDefault="001A7DEC" w:rsidP="000E7A27">
            <w:pPr>
              <w:jc w:val="both"/>
              <w:rPr>
                <w:bCs/>
                <w:i/>
                <w:iCs/>
                <w:sz w:val="20"/>
              </w:rPr>
            </w:pPr>
            <w:r w:rsidRPr="00521E38">
              <w:rPr>
                <w:bCs/>
                <w:i/>
                <w:iCs/>
                <w:sz w:val="20"/>
              </w:rPr>
              <w:t xml:space="preserve">Ebben a félévben megnőtt a közüzemi panaszok száma. Az előző félévi </w:t>
            </w:r>
            <w:r w:rsidR="00492C4E" w:rsidRPr="00521E38">
              <w:rPr>
                <w:bCs/>
                <w:i/>
                <w:iCs/>
                <w:sz w:val="20"/>
              </w:rPr>
              <w:t>12</w:t>
            </w:r>
            <w:r w:rsidRPr="00521E38">
              <w:rPr>
                <w:bCs/>
                <w:i/>
                <w:iCs/>
                <w:sz w:val="20"/>
              </w:rPr>
              <w:t xml:space="preserve">- hez képest </w:t>
            </w:r>
            <w:r w:rsidR="00492C4E" w:rsidRPr="00521E38">
              <w:rPr>
                <w:bCs/>
                <w:i/>
                <w:iCs/>
                <w:sz w:val="20"/>
              </w:rPr>
              <w:t xml:space="preserve">22-re nőtt, ez éves szinten 34 db. Közülük elsősorban a gáz és áram panaszok száma nőtt. Kimagasló megyénkben az Energia Központ miatti panaszok száma. Megjegyezzük, hogy a fűtési költségelosztók miatti panaszok száma is jelentős, de ezzel mivel a társasházai közösségek belső </w:t>
            </w:r>
            <w:r w:rsidR="00F9345B" w:rsidRPr="00521E38">
              <w:rPr>
                <w:bCs/>
                <w:i/>
                <w:iCs/>
                <w:sz w:val="20"/>
              </w:rPr>
              <w:t>szabályozása, érdemben nem tudtunk foglalkozni.</w:t>
            </w:r>
          </w:p>
          <w:p w:rsidR="00441422" w:rsidRPr="00521E38" w:rsidRDefault="00441422" w:rsidP="005E3087">
            <w:pPr>
              <w:jc w:val="both"/>
              <w:rPr>
                <w:bCs/>
                <w:i/>
                <w:iCs/>
                <w:sz w:val="20"/>
              </w:rPr>
            </w:pPr>
            <w:r w:rsidRPr="00521E38">
              <w:rPr>
                <w:bCs/>
                <w:i/>
                <w:iCs/>
                <w:sz w:val="20"/>
              </w:rPr>
              <w:t>A fogyasztói csoporttal kapcsolatos panaszok megszűntek, de egyre több fogyasztói panasz érkezi az időben megosztott üdülési jogokkal kapcsolatban.</w:t>
            </w:r>
            <w:r w:rsidR="001A7DEC" w:rsidRPr="00521E38">
              <w:rPr>
                <w:bCs/>
                <w:i/>
                <w:iCs/>
                <w:sz w:val="20"/>
              </w:rPr>
              <w:t xml:space="preserve"> Sajnos legtöbb esetben nem tudunk segítséget nyújtani, mivel a szerződések jogilag rendben vannak, az ügyfél megtévesztését, az erőszakos beszervezést viszont nem lehet bizonyítani.</w:t>
            </w:r>
          </w:p>
          <w:p w:rsidR="001B6274" w:rsidRPr="00521E38" w:rsidRDefault="00441422" w:rsidP="00F9345B">
            <w:pPr>
              <w:rPr>
                <w:bCs/>
                <w:i/>
                <w:iCs/>
                <w:sz w:val="20"/>
                <w:highlight w:val="lightGray"/>
              </w:rPr>
            </w:pPr>
            <w:r w:rsidRPr="00521E38">
              <w:rPr>
                <w:bCs/>
                <w:i/>
                <w:iCs/>
                <w:sz w:val="20"/>
              </w:rPr>
              <w:t>Sajnos a termékbemutatókkal kapcsolatos panasz</w:t>
            </w:r>
            <w:r w:rsidR="001A7DEC" w:rsidRPr="00521E38">
              <w:rPr>
                <w:bCs/>
                <w:i/>
                <w:iCs/>
                <w:sz w:val="20"/>
              </w:rPr>
              <w:t>ok továbbra is nagyon magasak.(</w:t>
            </w:r>
            <w:r w:rsidR="00F9345B" w:rsidRPr="00521E38">
              <w:rPr>
                <w:bCs/>
                <w:i/>
                <w:iCs/>
                <w:sz w:val="20"/>
              </w:rPr>
              <w:t>23 éves szinten 37</w:t>
            </w:r>
            <w:r w:rsidRPr="00521E38">
              <w:rPr>
                <w:bCs/>
                <w:i/>
                <w:iCs/>
                <w:sz w:val="20"/>
              </w:rPr>
              <w:t xml:space="preserve"> db). </w:t>
            </w:r>
            <w:r w:rsidR="00BF5DC1" w:rsidRPr="00521E38">
              <w:rPr>
                <w:bCs/>
                <w:i/>
                <w:iCs/>
                <w:sz w:val="20"/>
              </w:rPr>
              <w:t>Véleményünk szerint</w:t>
            </w:r>
            <w:r w:rsidRPr="00521E38">
              <w:rPr>
                <w:bCs/>
                <w:i/>
                <w:iCs/>
                <w:sz w:val="20"/>
              </w:rPr>
              <w:t xml:space="preserve"> az új jogszabály </w:t>
            </w:r>
            <w:r w:rsidR="00F9345B" w:rsidRPr="00521E38">
              <w:rPr>
                <w:bCs/>
                <w:i/>
                <w:iCs/>
                <w:sz w:val="20"/>
              </w:rPr>
              <w:t xml:space="preserve">ha valamiz segít is, de nem oldja </w:t>
            </w:r>
            <w:r w:rsidRPr="00521E38">
              <w:rPr>
                <w:bCs/>
                <w:i/>
                <w:iCs/>
                <w:sz w:val="20"/>
              </w:rPr>
              <w:t xml:space="preserve">a becsapott fogyasztók jogainak érvényesítését. </w:t>
            </w:r>
          </w:p>
          <w:p w:rsidR="001B6274" w:rsidRPr="00521E38" w:rsidRDefault="00F9345B" w:rsidP="005E3087">
            <w:pPr>
              <w:jc w:val="both"/>
              <w:rPr>
                <w:bCs/>
                <w:i/>
                <w:iCs/>
                <w:sz w:val="20"/>
              </w:rPr>
            </w:pPr>
            <w:r w:rsidRPr="00521E38">
              <w:rPr>
                <w:bCs/>
                <w:i/>
                <w:iCs/>
                <w:sz w:val="20"/>
              </w:rPr>
              <w:t>Magas az internetes kereskedés miatt benyújtott panaszok száma. /éves szinten 28 ). Gondot okoz, hogy sok web áruház nem tünteti fel a fizikai elérhetőségét web lapján.</w:t>
            </w:r>
          </w:p>
          <w:p w:rsidR="001B6274" w:rsidRPr="000778BD" w:rsidRDefault="001B6274" w:rsidP="005E3087">
            <w:pPr>
              <w:pBdr>
                <w:top w:val="single" w:sz="4" w:space="1" w:color="auto"/>
                <w:bottom w:val="single" w:sz="4" w:space="1" w:color="auto"/>
              </w:pBdr>
              <w:jc w:val="both"/>
              <w:rPr>
                <w:b/>
                <w:bCs/>
                <w:i/>
                <w:iCs/>
                <w:sz w:val="20"/>
              </w:rPr>
            </w:pPr>
            <w:r w:rsidRPr="000778BD">
              <w:rPr>
                <w:b/>
                <w:bCs/>
                <w:i/>
                <w:iCs/>
                <w:sz w:val="20"/>
                <w:highlight w:val="lightGray"/>
              </w:rPr>
              <w:t>2.2. Az ügyek tárgya szerint, hogyan alakult az alapos és alaptalan kérelmek aránya, az eljárások milyen eredményre vezettek, (megszűnés, egyezség, ajánlás, kötelezés aránya) a jogviták megelőzése, ill. eredményesebb befejezése érdekében mit célszerű kommunikálni a fogyasztók, illetve a vállalkozások felé.</w:t>
            </w:r>
          </w:p>
          <w:p w:rsidR="001B6274" w:rsidRPr="00521E38" w:rsidRDefault="00755D87" w:rsidP="005E3087">
            <w:pPr>
              <w:rPr>
                <w:bCs/>
                <w:i/>
                <w:iCs/>
                <w:sz w:val="20"/>
              </w:rPr>
            </w:pPr>
            <w:r w:rsidRPr="00521E38">
              <w:rPr>
                <w:bCs/>
                <w:i/>
                <w:iCs/>
                <w:sz w:val="20"/>
              </w:rPr>
              <w:t xml:space="preserve">A határozattal lezárt ügyekben az érdemi határozatok száma </w:t>
            </w:r>
            <w:r w:rsidR="00F9345B" w:rsidRPr="00521E38">
              <w:rPr>
                <w:bCs/>
                <w:i/>
                <w:iCs/>
                <w:sz w:val="20"/>
              </w:rPr>
              <w:t>6</w:t>
            </w:r>
            <w:r w:rsidRPr="00521E38">
              <w:rPr>
                <w:bCs/>
                <w:i/>
                <w:iCs/>
                <w:sz w:val="20"/>
              </w:rPr>
              <w:t xml:space="preserve">0 %. Az egyezségek száma </w:t>
            </w:r>
            <w:r w:rsidR="00F9345B" w:rsidRPr="00521E38">
              <w:rPr>
                <w:bCs/>
                <w:i/>
                <w:iCs/>
                <w:sz w:val="20"/>
              </w:rPr>
              <w:t xml:space="preserve">a második félévben </w:t>
            </w:r>
            <w:r w:rsidR="00350B9D" w:rsidRPr="00521E38">
              <w:rPr>
                <w:bCs/>
                <w:i/>
                <w:iCs/>
                <w:sz w:val="20"/>
              </w:rPr>
              <w:t>42</w:t>
            </w:r>
            <w:r w:rsidR="00F9345B" w:rsidRPr="00521E38">
              <w:rPr>
                <w:bCs/>
                <w:i/>
                <w:iCs/>
                <w:sz w:val="20"/>
              </w:rPr>
              <w:t>-ről 76-ra</w:t>
            </w:r>
            <w:r w:rsidR="00350B9D" w:rsidRPr="00521E38">
              <w:rPr>
                <w:bCs/>
                <w:i/>
                <w:iCs/>
                <w:sz w:val="20"/>
              </w:rPr>
              <w:t>, kötelez</w:t>
            </w:r>
            <w:r w:rsidR="00F9345B" w:rsidRPr="00521E38">
              <w:rPr>
                <w:bCs/>
                <w:i/>
                <w:iCs/>
                <w:sz w:val="20"/>
              </w:rPr>
              <w:t>ések száma éves szinte 7</w:t>
            </w:r>
            <w:r w:rsidR="00350B9D" w:rsidRPr="00521E38">
              <w:rPr>
                <w:bCs/>
                <w:i/>
                <w:iCs/>
                <w:sz w:val="20"/>
              </w:rPr>
              <w:t xml:space="preserve">, míg az ajánlások száma </w:t>
            </w:r>
            <w:r w:rsidR="00F9345B" w:rsidRPr="00521E38">
              <w:rPr>
                <w:bCs/>
                <w:i/>
                <w:iCs/>
                <w:sz w:val="20"/>
              </w:rPr>
              <w:t>44-ről 56-ra nőtt.</w:t>
            </w:r>
            <w:r w:rsidR="00350B9D" w:rsidRPr="00521E38">
              <w:rPr>
                <w:bCs/>
                <w:i/>
                <w:iCs/>
                <w:sz w:val="20"/>
              </w:rPr>
              <w:t xml:space="preserve"> </w:t>
            </w:r>
            <w:r w:rsidRPr="00521E38">
              <w:rPr>
                <w:bCs/>
                <w:i/>
                <w:iCs/>
                <w:sz w:val="20"/>
              </w:rPr>
              <w:t>.</w:t>
            </w:r>
          </w:p>
          <w:p w:rsidR="001B6274" w:rsidRPr="00521E38" w:rsidRDefault="00755D87" w:rsidP="005E3087">
            <w:pPr>
              <w:rPr>
                <w:bCs/>
                <w:i/>
                <w:iCs/>
                <w:sz w:val="20"/>
              </w:rPr>
            </w:pPr>
            <w:r w:rsidRPr="00521E38">
              <w:rPr>
                <w:bCs/>
                <w:i/>
                <w:iCs/>
                <w:sz w:val="20"/>
              </w:rPr>
              <w:t xml:space="preserve">A megszüntetések – megalapozatlan </w:t>
            </w:r>
            <w:r w:rsidR="00350B9D" w:rsidRPr="00521E38">
              <w:rPr>
                <w:bCs/>
                <w:i/>
                <w:iCs/>
                <w:sz w:val="20"/>
              </w:rPr>
              <w:t>és</w:t>
            </w:r>
            <w:r w:rsidRPr="00521E38">
              <w:rPr>
                <w:bCs/>
                <w:i/>
                <w:iCs/>
                <w:sz w:val="20"/>
              </w:rPr>
              <w:t xml:space="preserve"> elutasítás</w:t>
            </w:r>
            <w:r w:rsidR="00BF5DC1" w:rsidRPr="00521E38">
              <w:rPr>
                <w:bCs/>
                <w:i/>
                <w:iCs/>
                <w:sz w:val="20"/>
              </w:rPr>
              <w:t xml:space="preserve">- száma, </w:t>
            </w:r>
            <w:r w:rsidR="00521E38" w:rsidRPr="00521E38">
              <w:rPr>
                <w:bCs/>
                <w:i/>
                <w:iCs/>
                <w:sz w:val="20"/>
              </w:rPr>
              <w:t>65</w:t>
            </w:r>
            <w:r w:rsidRPr="00521E38">
              <w:rPr>
                <w:bCs/>
                <w:i/>
                <w:iCs/>
                <w:sz w:val="20"/>
              </w:rPr>
              <w:t xml:space="preserve"> azt mutatja, hogy a legtöbb panasz megalapozott. </w:t>
            </w:r>
          </w:p>
          <w:p w:rsidR="00755D87" w:rsidRPr="00521E38" w:rsidRDefault="00755D87" w:rsidP="005E3087">
            <w:pPr>
              <w:rPr>
                <w:bCs/>
                <w:i/>
                <w:iCs/>
                <w:sz w:val="20"/>
              </w:rPr>
            </w:pPr>
            <w:r w:rsidRPr="00521E38">
              <w:rPr>
                <w:bCs/>
                <w:i/>
                <w:iCs/>
                <w:sz w:val="20"/>
              </w:rPr>
              <w:t>Sajnos az alávetési nyilatkozatok számát nem sikerült növelni.</w:t>
            </w:r>
            <w:r w:rsidR="00521E38" w:rsidRPr="00521E38">
              <w:rPr>
                <w:bCs/>
                <w:i/>
                <w:iCs/>
                <w:sz w:val="20"/>
              </w:rPr>
              <w:t xml:space="preserve"> Ugyanakkor nőtt azon megszüntetések száma, ahol az eljárás megindítása előtt sikerült közreműködésünkkel a felek között megállapodást létrehozni, így a panasz visszavonásra került. A II. félévben ezek száma 20, míg éves szinten 33 db volt.</w:t>
            </w:r>
          </w:p>
          <w:p w:rsidR="00755D87" w:rsidRPr="000778BD" w:rsidRDefault="00755D87" w:rsidP="00755D87">
            <w:pPr>
              <w:rPr>
                <w:b/>
                <w:bCs/>
                <w:i/>
                <w:iCs/>
                <w:sz w:val="20"/>
              </w:rPr>
            </w:pPr>
            <w:r w:rsidRPr="00521E38">
              <w:rPr>
                <w:bCs/>
                <w:i/>
                <w:iCs/>
                <w:sz w:val="20"/>
              </w:rPr>
              <w:t>A kommunikációban fontosnak tartjuk annak kidomborítását, hogy a békéltető eljárás során lehetőség van a vállalkozók és fogyasztók közötti jogviták gyors és eredményes lezárására</w:t>
            </w:r>
            <w:r>
              <w:rPr>
                <w:b/>
                <w:bCs/>
                <w:i/>
                <w:iCs/>
                <w:sz w:val="20"/>
              </w:rPr>
              <w:t>.</w:t>
            </w:r>
          </w:p>
          <w:p w:rsidR="001B6274" w:rsidRPr="000778BD" w:rsidRDefault="001B6274" w:rsidP="005E3087">
            <w:pPr>
              <w:rPr>
                <w:b/>
                <w:bCs/>
                <w:i/>
                <w:iCs/>
                <w:sz w:val="20"/>
              </w:rPr>
            </w:pPr>
          </w:p>
          <w:p w:rsidR="001B6274" w:rsidRPr="000778BD" w:rsidRDefault="001B6274" w:rsidP="005E3087">
            <w:pPr>
              <w:rPr>
                <w:b/>
                <w:bCs/>
                <w:i/>
                <w:iCs/>
                <w:sz w:val="20"/>
              </w:rPr>
            </w:pPr>
          </w:p>
        </w:tc>
      </w:tr>
      <w:tr w:rsidR="001B6274" w:rsidRPr="000778BD" w:rsidTr="005E3087">
        <w:trPr>
          <w:cantSplit/>
          <w:trHeight w:val="465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B6274" w:rsidRPr="000778BD" w:rsidRDefault="001B6274" w:rsidP="005E3087">
            <w:pPr>
              <w:rPr>
                <w:b/>
                <w:bCs/>
                <w:i/>
                <w:iCs/>
                <w:sz w:val="20"/>
                <w:highlight w:val="lightGray"/>
              </w:rPr>
            </w:pPr>
            <w:r w:rsidRPr="000778BD">
              <w:rPr>
                <w:b/>
                <w:bCs/>
                <w:i/>
                <w:iCs/>
                <w:sz w:val="20"/>
                <w:highlight w:val="lightGray"/>
              </w:rPr>
              <w:t>2.3. Ismertesse az egyezséget, illetve kötelezést segítő, akadályozó tényezőket, a fogyasztói visszajelzések arányát a határozatokban, ajánlásokban foglaltak betartásának alakulását, stb.</w:t>
            </w:r>
          </w:p>
        </w:tc>
      </w:tr>
      <w:tr w:rsidR="001B6274" w:rsidRPr="000778BD" w:rsidTr="005E3087">
        <w:trPr>
          <w:cantSplit/>
          <w:trHeight w:val="713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55D87" w:rsidRPr="00521E38" w:rsidRDefault="00755D87" w:rsidP="00755D87">
            <w:pPr>
              <w:rPr>
                <w:bCs/>
                <w:i/>
                <w:iCs/>
                <w:sz w:val="20"/>
              </w:rPr>
            </w:pPr>
            <w:r w:rsidRPr="00521E38">
              <w:rPr>
                <w:bCs/>
                <w:i/>
                <w:iCs/>
                <w:sz w:val="20"/>
              </w:rPr>
              <w:t xml:space="preserve">Visszajelzéseink szerint az ajánlás határozatok mintegy </w:t>
            </w:r>
            <w:r w:rsidR="00521E38" w:rsidRPr="00521E38">
              <w:rPr>
                <w:bCs/>
                <w:i/>
                <w:iCs/>
                <w:sz w:val="20"/>
              </w:rPr>
              <w:t>80</w:t>
            </w:r>
            <w:r w:rsidRPr="00521E38">
              <w:rPr>
                <w:bCs/>
                <w:i/>
                <w:iCs/>
                <w:sz w:val="20"/>
              </w:rPr>
              <w:t xml:space="preserve"> %-át a vállalkozások teljesítik. A fogyasztóktól több esetben érkezik köszönő levél. </w:t>
            </w:r>
          </w:p>
          <w:p w:rsidR="001B6274" w:rsidRPr="000778BD" w:rsidRDefault="00755D87" w:rsidP="00521E38">
            <w:pPr>
              <w:rPr>
                <w:b/>
                <w:bCs/>
                <w:i/>
                <w:iCs/>
                <w:sz w:val="20"/>
              </w:rPr>
            </w:pPr>
            <w:r w:rsidRPr="00521E38">
              <w:rPr>
                <w:bCs/>
                <w:i/>
                <w:iCs/>
                <w:sz w:val="20"/>
              </w:rPr>
              <w:t xml:space="preserve">Az egyezség megkötését sok esetben nehezíti, hogy a  </w:t>
            </w:r>
            <w:r w:rsidR="00521E38" w:rsidRPr="00521E38">
              <w:rPr>
                <w:bCs/>
                <w:i/>
                <w:iCs/>
                <w:sz w:val="20"/>
              </w:rPr>
              <w:t>vállalkozás írásban</w:t>
            </w:r>
            <w:r w:rsidRPr="00521E38">
              <w:rPr>
                <w:bCs/>
                <w:i/>
                <w:iCs/>
                <w:sz w:val="20"/>
              </w:rPr>
              <w:t xml:space="preserve"> válaszol a Testület megkeresésére, de a meghallgatáson nem vesz részt. Jónak tartjuk a</w:t>
            </w:r>
            <w:r w:rsidR="00DB06C0" w:rsidRPr="00521E38">
              <w:rPr>
                <w:bCs/>
                <w:i/>
                <w:iCs/>
                <w:sz w:val="20"/>
              </w:rPr>
              <w:t xml:space="preserve"> törvény módosítását, mely lehetővé teszi az együtt nem működő vállalkozások ellen hatósági eljárás megindítását. Megyénkben erre ebben a félévben </w:t>
            </w:r>
            <w:r w:rsidR="00521E38" w:rsidRPr="00521E38">
              <w:rPr>
                <w:bCs/>
                <w:i/>
                <w:iCs/>
                <w:sz w:val="20"/>
              </w:rPr>
              <w:t>egy esetben</w:t>
            </w:r>
            <w:r w:rsidR="00DB06C0" w:rsidRPr="00521E38">
              <w:rPr>
                <w:bCs/>
                <w:i/>
                <w:iCs/>
                <w:sz w:val="20"/>
              </w:rPr>
              <w:t xml:space="preserve"> került sor.</w:t>
            </w:r>
          </w:p>
        </w:tc>
      </w:tr>
      <w:tr w:rsidR="001B6274" w:rsidRPr="000778BD" w:rsidTr="005E308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1B6274" w:rsidRPr="000778BD" w:rsidRDefault="001B6274" w:rsidP="005E3087">
            <w:pPr>
              <w:rPr>
                <w:b/>
                <w:bCs/>
                <w:i/>
                <w:iCs/>
                <w:sz w:val="20"/>
              </w:rPr>
            </w:pPr>
            <w:r w:rsidRPr="000778BD">
              <w:rPr>
                <w:b/>
                <w:bCs/>
                <w:i/>
                <w:iCs/>
                <w:sz w:val="20"/>
              </w:rPr>
              <w:t>3. Ismertesse a fogyasztói jogviták intézésével összefüggő lényegesnek tartott tapasztalatokat! (pl.: Tudják-e tartani az eljárási határidőket, mennyi az átlagos ügyintézési határidő, egy testületi tag által, illetve írásban lefolytatott eljárások száma, értékelje a vállalkozások együttműködési készségét, alávetések alakulása, nyilvánosságra hozatal oka, száma, módja, a tanács határozata, ajánlása elleni jogorvoslatok száma, eredménye, stb.)</w:t>
            </w:r>
          </w:p>
        </w:tc>
      </w:tr>
      <w:tr w:rsidR="001B6274" w:rsidRPr="000778BD" w:rsidTr="005E3087">
        <w:trPr>
          <w:cantSplit/>
          <w:trHeight w:val="723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B06C0" w:rsidRDefault="00DB06C0" w:rsidP="00DB06C0">
            <w:pPr>
              <w:ind w:right="-1"/>
              <w:jc w:val="both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  <w:t xml:space="preserve">Az eljárási határidőket minden esetben be tudjuk tartani. Az ügyintézési határidőnk </w:t>
            </w:r>
            <w:r w:rsidR="00521E38">
              <w:rPr>
                <w:bCs/>
                <w:i/>
                <w:iCs/>
                <w:sz w:val="20"/>
              </w:rPr>
              <w:t>20-22</w:t>
            </w:r>
            <w:r>
              <w:rPr>
                <w:bCs/>
                <w:i/>
                <w:iCs/>
                <w:sz w:val="20"/>
              </w:rPr>
              <w:t xml:space="preserve"> nap. A meghallgatások időpontját mindig úgy tűzzük ki, hogy a vállalkozásoknak legyen ideje a meghallgatásra felkészülni. Írásban lefolytatott eljárásunk nem volt.</w:t>
            </w:r>
          </w:p>
          <w:p w:rsidR="00DB06C0" w:rsidRDefault="00DB06C0" w:rsidP="00DB06C0">
            <w:pPr>
              <w:ind w:right="-1"/>
              <w:jc w:val="both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  <w:t>Tapasztalataink szerint a vállalkozások együttműködési készsége javult, komolyan veszik a Testület megkeresését.</w:t>
            </w:r>
          </w:p>
          <w:p w:rsidR="00DB06C0" w:rsidRDefault="00DB06C0" w:rsidP="00DB06C0">
            <w:pPr>
              <w:ind w:right="-1"/>
              <w:jc w:val="both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  <w:t>Sajnos minden erőfeszítésünk ellenére az alávetési nyilatkozatot csak nagyon kevés vállalkozás tölti ki. Több alaklommal indítottunk kampányt ennek növelésére, érdemi eredményt nem értünk el.</w:t>
            </w:r>
          </w:p>
          <w:p w:rsidR="00DB06C0" w:rsidRDefault="00DB06C0" w:rsidP="00DB06C0">
            <w:pPr>
              <w:ind w:right="-1"/>
              <w:jc w:val="both"/>
              <w:rPr>
                <w:bCs/>
                <w:i/>
                <w:iCs/>
                <w:sz w:val="20"/>
              </w:rPr>
            </w:pPr>
          </w:p>
          <w:p w:rsidR="00DB06C0" w:rsidRPr="000778BD" w:rsidRDefault="00DB06C0" w:rsidP="00DB06C0">
            <w:pPr>
              <w:ind w:right="-1"/>
              <w:jc w:val="both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  <w:t xml:space="preserve">A beszámolási időszakban határozatunk ellen </w:t>
            </w:r>
            <w:r w:rsidR="00521E38">
              <w:rPr>
                <w:bCs/>
                <w:i/>
                <w:iCs/>
                <w:sz w:val="20"/>
              </w:rPr>
              <w:t>egy</w:t>
            </w:r>
            <w:r>
              <w:rPr>
                <w:bCs/>
                <w:i/>
                <w:iCs/>
                <w:sz w:val="20"/>
              </w:rPr>
              <w:t xml:space="preserve"> estben indítottak bírósági eljárást, mely </w:t>
            </w:r>
            <w:r w:rsidR="00521E38">
              <w:rPr>
                <w:bCs/>
                <w:i/>
                <w:iCs/>
                <w:sz w:val="20"/>
              </w:rPr>
              <w:t>ügyben a Bíróság határozatunkat hatályon kívül helyezte.</w:t>
            </w:r>
            <w:r>
              <w:rPr>
                <w:bCs/>
                <w:i/>
                <w:iCs/>
                <w:sz w:val="20"/>
              </w:rPr>
              <w:t xml:space="preserve"> </w:t>
            </w:r>
          </w:p>
          <w:p w:rsidR="001B6274" w:rsidRPr="000778BD" w:rsidRDefault="001B6274" w:rsidP="005E3087">
            <w:pPr>
              <w:ind w:right="-1"/>
              <w:jc w:val="both"/>
              <w:rPr>
                <w:bCs/>
                <w:i/>
                <w:iCs/>
                <w:sz w:val="20"/>
              </w:rPr>
            </w:pPr>
          </w:p>
          <w:p w:rsidR="001B6274" w:rsidRPr="000778BD" w:rsidRDefault="001B6274" w:rsidP="005E3087">
            <w:pPr>
              <w:ind w:right="-1"/>
              <w:jc w:val="both"/>
              <w:rPr>
                <w:bCs/>
                <w:i/>
                <w:iCs/>
                <w:sz w:val="20"/>
              </w:rPr>
            </w:pPr>
          </w:p>
        </w:tc>
      </w:tr>
      <w:tr w:rsidR="001B6274" w:rsidRPr="000778BD" w:rsidTr="005E308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1B6274" w:rsidRPr="000778BD" w:rsidRDefault="001B6274" w:rsidP="005E3087">
            <w:pPr>
              <w:rPr>
                <w:b/>
                <w:bCs/>
                <w:i/>
                <w:iCs/>
                <w:sz w:val="20"/>
              </w:rPr>
            </w:pPr>
            <w:r w:rsidRPr="000778BD">
              <w:rPr>
                <w:b/>
                <w:bCs/>
                <w:i/>
                <w:iCs/>
                <w:sz w:val="20"/>
              </w:rPr>
              <w:t>4. Ismertesse a testület működését segítő, illetve akadályozó körülményeket! (pl.: Személyi, tárgyi feltételek, jogszabályi környezet, finanszírozás, a kamarával való együttműködés értékelése, együttműködés más szervezetekkel, stb.)</w:t>
            </w:r>
          </w:p>
        </w:tc>
      </w:tr>
      <w:tr w:rsidR="001B6274" w:rsidRPr="000778BD" w:rsidTr="005E308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274" w:rsidRPr="000778BD" w:rsidRDefault="001B6274" w:rsidP="005E3087">
            <w:pPr>
              <w:rPr>
                <w:b/>
                <w:bCs/>
                <w:i/>
                <w:iCs/>
                <w:sz w:val="20"/>
              </w:rPr>
            </w:pPr>
          </w:p>
          <w:p w:rsidR="00DB06C0" w:rsidRDefault="00DB06C0" w:rsidP="00DB06C0">
            <w:pPr>
              <w:rPr>
                <w:bCs/>
                <w:i/>
                <w:iCs/>
                <w:sz w:val="20"/>
              </w:rPr>
            </w:pPr>
            <w:r w:rsidRPr="00521E38">
              <w:rPr>
                <w:bCs/>
                <w:i/>
                <w:iCs/>
                <w:sz w:val="20"/>
              </w:rPr>
              <w:t xml:space="preserve">Személyi és tárgyi feltételeinket megfelelőnek tartjuk. A korábban leírtak szerint elhelyezési körülményeink </w:t>
            </w:r>
            <w:r w:rsidR="00521E38">
              <w:rPr>
                <w:bCs/>
                <w:i/>
                <w:iCs/>
                <w:sz w:val="20"/>
              </w:rPr>
              <w:t>jók</w:t>
            </w:r>
            <w:r w:rsidRPr="00521E38">
              <w:rPr>
                <w:bCs/>
                <w:i/>
                <w:iCs/>
                <w:sz w:val="20"/>
              </w:rPr>
              <w:t>. A Kamarával való jó együttműködésünknek köszönhetően finanszírozási gondjain nincsenek. A megyében működő civil szervezetekkel és a győri és soproni Ipartestületekkel jó kapcsolataink vannak.</w:t>
            </w:r>
            <w:r w:rsidR="00350B9D" w:rsidRPr="00521E38">
              <w:rPr>
                <w:bCs/>
                <w:i/>
                <w:iCs/>
                <w:sz w:val="20"/>
              </w:rPr>
              <w:t xml:space="preserve"> Sajnos a működtetési költségek </w:t>
            </w:r>
            <w:r w:rsidR="00521E38">
              <w:rPr>
                <w:bCs/>
                <w:i/>
                <w:iCs/>
                <w:sz w:val="20"/>
              </w:rPr>
              <w:t xml:space="preserve">alacsony mértéke </w:t>
            </w:r>
            <w:r w:rsidR="00350B9D" w:rsidRPr="00521E38">
              <w:rPr>
                <w:bCs/>
                <w:i/>
                <w:iCs/>
                <w:sz w:val="20"/>
              </w:rPr>
              <w:t>komoly problémát jelentett, a meghallgatások jelentős számát egyedül eljáró tanácstagként kellett lebonyolítani.</w:t>
            </w:r>
            <w:r w:rsidR="00BF5DC1" w:rsidRPr="00521E38">
              <w:rPr>
                <w:bCs/>
                <w:i/>
                <w:iCs/>
                <w:sz w:val="20"/>
              </w:rPr>
              <w:t xml:space="preserve"> </w:t>
            </w:r>
            <w:r w:rsidR="00992CF0">
              <w:rPr>
                <w:bCs/>
                <w:i/>
                <w:iCs/>
                <w:sz w:val="20"/>
              </w:rPr>
              <w:t>A tanácsadásban résztvevő tagok</w:t>
            </w:r>
            <w:r w:rsidR="00521E38">
              <w:rPr>
                <w:bCs/>
                <w:i/>
                <w:iCs/>
                <w:sz w:val="20"/>
              </w:rPr>
              <w:t xml:space="preserve"> számára semmilyen anyagi térítést nem tudunk biztosítani.</w:t>
            </w:r>
          </w:p>
          <w:p w:rsidR="00992CF0" w:rsidRPr="00521E38" w:rsidRDefault="00992CF0" w:rsidP="00DB06C0">
            <w:pPr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  <w:t>A Kisalföld Fogyasztóvédelmi Egyesülettel közösen résztveszünk az iskolai fogyasztóvédelmi klubok működtetésében, diák vetélkedők lebonyolításában és az érettségi előtt álló fiatalok részére 20 fő közösségi munkavégzési lehetőséget biztosítottunk.</w:t>
            </w:r>
          </w:p>
          <w:p w:rsidR="001B6274" w:rsidRPr="000778BD" w:rsidRDefault="001B6274" w:rsidP="005E3087">
            <w:pPr>
              <w:rPr>
                <w:b/>
                <w:bCs/>
                <w:i/>
                <w:iCs/>
                <w:sz w:val="20"/>
              </w:rPr>
            </w:pPr>
          </w:p>
          <w:p w:rsidR="001B6274" w:rsidRPr="000778BD" w:rsidRDefault="001B6274" w:rsidP="005E3087">
            <w:pPr>
              <w:rPr>
                <w:b/>
                <w:bCs/>
                <w:i/>
                <w:iCs/>
                <w:sz w:val="20"/>
              </w:rPr>
            </w:pPr>
          </w:p>
        </w:tc>
      </w:tr>
      <w:tr w:rsidR="001B6274" w:rsidRPr="000778BD" w:rsidTr="005E308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1B6274" w:rsidRPr="000778BD" w:rsidRDefault="001B6274" w:rsidP="005E3087">
            <w:pPr>
              <w:rPr>
                <w:b/>
                <w:bCs/>
                <w:i/>
                <w:iCs/>
                <w:sz w:val="20"/>
              </w:rPr>
            </w:pPr>
            <w:r w:rsidRPr="000778BD">
              <w:rPr>
                <w:b/>
                <w:bCs/>
                <w:i/>
                <w:iCs/>
                <w:sz w:val="20"/>
              </w:rPr>
              <w:t>5. Ismertesse a testületeket, illetve a fogyasztóvédelmet érintő esetleges jogi szabályozásra vonatkozó észrevételeit, javaslatait!</w:t>
            </w:r>
          </w:p>
        </w:tc>
      </w:tr>
      <w:tr w:rsidR="001B6274" w:rsidRPr="000778BD" w:rsidTr="005E308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274" w:rsidRPr="00992CF0" w:rsidRDefault="00DB06C0" w:rsidP="005E3087">
            <w:pPr>
              <w:rPr>
                <w:bCs/>
                <w:i/>
                <w:iCs/>
                <w:sz w:val="20"/>
              </w:rPr>
            </w:pPr>
            <w:r w:rsidRPr="00992CF0">
              <w:rPr>
                <w:bCs/>
                <w:i/>
                <w:iCs/>
                <w:sz w:val="20"/>
              </w:rPr>
              <w:t>A fogyasztói szerződésekről szóló jogszabály sok gondot megold, de néhány esetre nem tér ki. Ilyen például az üzleten kívüli kereskedéseknél, ha a vállalkozás a termék kiszállítását önállóan számlázza, és ezt elállás esetén nem hajlandó visszatéríteni.</w:t>
            </w:r>
            <w:r w:rsidR="00350B9D" w:rsidRPr="00992CF0">
              <w:rPr>
                <w:bCs/>
                <w:i/>
                <w:iCs/>
                <w:sz w:val="20"/>
              </w:rPr>
              <w:t xml:space="preserve"> Sajnos a rendelet </w:t>
            </w:r>
            <w:r w:rsidR="00992CF0" w:rsidRPr="00992CF0">
              <w:rPr>
                <w:bCs/>
                <w:i/>
                <w:iCs/>
                <w:sz w:val="20"/>
              </w:rPr>
              <w:t>szellemében,</w:t>
            </w:r>
            <w:r w:rsidR="00350B9D" w:rsidRPr="00992CF0">
              <w:rPr>
                <w:bCs/>
                <w:i/>
                <w:iCs/>
                <w:sz w:val="20"/>
              </w:rPr>
              <w:t xml:space="preserve"> ha a termékbemutatós cégnek van saját telephelye és itt rendezi a termékbemutatót, az nem minősül üzleten kívüli kereskedésnek, hiába valójában nincs üzlete a cégnek.</w:t>
            </w:r>
          </w:p>
          <w:p w:rsidR="00350B9D" w:rsidRPr="00992CF0" w:rsidRDefault="00350B9D" w:rsidP="005E3087">
            <w:pPr>
              <w:rPr>
                <w:bCs/>
                <w:i/>
                <w:iCs/>
                <w:sz w:val="20"/>
              </w:rPr>
            </w:pPr>
            <w:r w:rsidRPr="00992CF0">
              <w:rPr>
                <w:bCs/>
                <w:i/>
                <w:iCs/>
                <w:sz w:val="20"/>
              </w:rPr>
              <w:t>Megismétlem, tapasztalataink alapján ezt a kereskedési formát meg kellene szüntetni</w:t>
            </w:r>
            <w:r>
              <w:rPr>
                <w:b/>
                <w:bCs/>
                <w:i/>
                <w:iCs/>
                <w:sz w:val="20"/>
              </w:rPr>
              <w:t>.</w:t>
            </w:r>
            <w:r w:rsidR="00992CF0">
              <w:rPr>
                <w:b/>
                <w:bCs/>
                <w:i/>
                <w:iCs/>
                <w:sz w:val="20"/>
              </w:rPr>
              <w:t xml:space="preserve"> </w:t>
            </w:r>
            <w:r w:rsidR="00992CF0" w:rsidRPr="00992CF0">
              <w:rPr>
                <w:bCs/>
                <w:i/>
                <w:iCs/>
                <w:sz w:val="20"/>
              </w:rPr>
              <w:t>A tervezett jogszabályt tovább kellene szigorítani. Ne lehessen a helyszínen fizetni, ügyfélszolgálat biztosítása, feltűnő ár és értékarány bizonyítási kötelezettség stb.</w:t>
            </w:r>
          </w:p>
          <w:p w:rsidR="001B6274" w:rsidRPr="000778BD" w:rsidRDefault="001B6274" w:rsidP="005E3087">
            <w:pPr>
              <w:rPr>
                <w:b/>
                <w:bCs/>
                <w:i/>
                <w:iCs/>
                <w:sz w:val="20"/>
              </w:rPr>
            </w:pPr>
          </w:p>
          <w:p w:rsidR="001B6274" w:rsidRPr="000778BD" w:rsidRDefault="001B6274" w:rsidP="005E3087">
            <w:pPr>
              <w:rPr>
                <w:b/>
                <w:bCs/>
                <w:i/>
                <w:iCs/>
                <w:sz w:val="20"/>
              </w:rPr>
            </w:pPr>
          </w:p>
          <w:p w:rsidR="001B6274" w:rsidRPr="000778BD" w:rsidRDefault="001B6274" w:rsidP="005E3087">
            <w:pPr>
              <w:rPr>
                <w:b/>
                <w:bCs/>
                <w:i/>
                <w:iCs/>
                <w:sz w:val="20"/>
              </w:rPr>
            </w:pPr>
          </w:p>
        </w:tc>
      </w:tr>
      <w:tr w:rsidR="001B6274" w:rsidRPr="000778BD" w:rsidTr="005E308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6274" w:rsidRPr="000778BD" w:rsidRDefault="001B6274" w:rsidP="005E3087">
            <w:pPr>
              <w:rPr>
                <w:b/>
                <w:bCs/>
                <w:i/>
                <w:iCs/>
                <w:sz w:val="20"/>
                <w:highlight w:val="lightGray"/>
              </w:rPr>
            </w:pPr>
            <w:r w:rsidRPr="000778BD">
              <w:rPr>
                <w:b/>
                <w:bCs/>
                <w:i/>
                <w:iCs/>
                <w:sz w:val="20"/>
                <w:highlight w:val="lightGray"/>
              </w:rPr>
              <w:t xml:space="preserve">6. Ismertesse, hogy mit tett a testület a vállalkozások együttműködési készségének fokozása érdekében, mik az ezt akadályozó körülmények, illetve az együttműködés milyen módon ösztönözhető! </w:t>
            </w:r>
          </w:p>
        </w:tc>
      </w:tr>
      <w:tr w:rsidR="001B6274" w:rsidRPr="000778BD" w:rsidTr="005E308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274" w:rsidRPr="000778BD" w:rsidRDefault="001B6274" w:rsidP="005E3087">
            <w:pPr>
              <w:rPr>
                <w:b/>
                <w:bCs/>
                <w:i/>
                <w:iCs/>
                <w:sz w:val="20"/>
              </w:rPr>
            </w:pPr>
          </w:p>
          <w:p w:rsidR="00DB06C0" w:rsidRPr="00EB0A50" w:rsidRDefault="00DB06C0" w:rsidP="00DB06C0">
            <w:pPr>
              <w:rPr>
                <w:bCs/>
                <w:i/>
                <w:iCs/>
                <w:sz w:val="20"/>
              </w:rPr>
            </w:pPr>
            <w:r w:rsidRPr="00EB0A50">
              <w:rPr>
                <w:bCs/>
                <w:i/>
                <w:iCs/>
                <w:sz w:val="20"/>
              </w:rPr>
              <w:t>Fokozzuk együttműködésünket a vállalkozások érdekvédelmi szervezeteivel.</w:t>
            </w:r>
            <w:r w:rsidR="00350B9D" w:rsidRPr="00EB0A50">
              <w:rPr>
                <w:bCs/>
                <w:i/>
                <w:iCs/>
                <w:sz w:val="20"/>
              </w:rPr>
              <w:t xml:space="preserve"> A Kamara mellett jó kapcsolatokat építettünk ki az Ipartestülettel.</w:t>
            </w:r>
          </w:p>
          <w:p w:rsidR="001B6274" w:rsidRPr="00EB0A50" w:rsidRDefault="001B6274" w:rsidP="005E3087">
            <w:pPr>
              <w:rPr>
                <w:bCs/>
                <w:i/>
                <w:iCs/>
                <w:sz w:val="20"/>
              </w:rPr>
            </w:pPr>
          </w:p>
          <w:p w:rsidR="001B6274" w:rsidRPr="000778BD" w:rsidRDefault="001B6274" w:rsidP="005E3087">
            <w:pPr>
              <w:rPr>
                <w:b/>
                <w:bCs/>
                <w:i/>
                <w:iCs/>
                <w:sz w:val="20"/>
              </w:rPr>
            </w:pPr>
          </w:p>
          <w:p w:rsidR="001B6274" w:rsidRPr="000778BD" w:rsidRDefault="001B6274" w:rsidP="005E3087">
            <w:pPr>
              <w:rPr>
                <w:b/>
                <w:bCs/>
                <w:i/>
                <w:iCs/>
                <w:sz w:val="20"/>
              </w:rPr>
            </w:pPr>
          </w:p>
          <w:p w:rsidR="001B6274" w:rsidRPr="000778BD" w:rsidRDefault="001B6274" w:rsidP="005E3087">
            <w:pPr>
              <w:rPr>
                <w:b/>
                <w:bCs/>
                <w:i/>
                <w:iCs/>
                <w:sz w:val="20"/>
              </w:rPr>
            </w:pPr>
          </w:p>
        </w:tc>
      </w:tr>
      <w:tr w:rsidR="001B6274" w:rsidRPr="000778BD" w:rsidTr="005E308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6274" w:rsidRPr="000778BD" w:rsidRDefault="001B6274" w:rsidP="005E3087">
            <w:pPr>
              <w:rPr>
                <w:b/>
                <w:bCs/>
                <w:i/>
                <w:iCs/>
                <w:sz w:val="20"/>
                <w:highlight w:val="lightGray"/>
              </w:rPr>
            </w:pPr>
            <w:r w:rsidRPr="000778BD">
              <w:rPr>
                <w:b/>
                <w:bCs/>
                <w:i/>
                <w:iCs/>
                <w:sz w:val="20"/>
                <w:highlight w:val="lightGray"/>
              </w:rPr>
              <w:t>7. Mutassa be a promóciós kampányuk elemeit, és részletesen azok eredményességét, valamint a fogyasztói visszajelzéseket. Csatolja a hirdetések másolatát, és TV és rádió spot esetén CD mellékletet.</w:t>
            </w:r>
          </w:p>
        </w:tc>
      </w:tr>
      <w:tr w:rsidR="001B6274" w:rsidRPr="000778BD" w:rsidTr="005E308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274" w:rsidRPr="000778BD" w:rsidRDefault="001B6274" w:rsidP="005E3087">
            <w:pPr>
              <w:rPr>
                <w:b/>
                <w:bCs/>
                <w:i/>
                <w:iCs/>
                <w:sz w:val="20"/>
              </w:rPr>
            </w:pPr>
          </w:p>
          <w:p w:rsidR="001B6274" w:rsidRPr="00EB0A50" w:rsidRDefault="00DB06C0" w:rsidP="005E3087">
            <w:pPr>
              <w:rPr>
                <w:bCs/>
                <w:i/>
                <w:iCs/>
                <w:sz w:val="20"/>
              </w:rPr>
            </w:pPr>
            <w:r w:rsidRPr="00EB0A50">
              <w:rPr>
                <w:bCs/>
                <w:i/>
                <w:iCs/>
                <w:sz w:val="20"/>
              </w:rPr>
              <w:t xml:space="preserve">Promóciós kampányt </w:t>
            </w:r>
            <w:r w:rsidR="00992CF0" w:rsidRPr="00EB0A50">
              <w:rPr>
                <w:bCs/>
                <w:i/>
                <w:iCs/>
                <w:sz w:val="20"/>
              </w:rPr>
              <w:t xml:space="preserve">keretén belül a Győr+ ingyenes terjesztésű győri hetilapban valamint a Kisalföld megyei napilapban jelentettünk meg promóciós anyagot </w:t>
            </w:r>
            <w:r w:rsidRPr="00EB0A50">
              <w:rPr>
                <w:bCs/>
                <w:i/>
                <w:iCs/>
                <w:sz w:val="20"/>
              </w:rPr>
              <w:t xml:space="preserve">a beszámolási időszakban. A megyei napilap hasábjain </w:t>
            </w:r>
            <w:r w:rsidR="00992CF0" w:rsidRPr="00EB0A50">
              <w:rPr>
                <w:bCs/>
                <w:i/>
                <w:iCs/>
                <w:sz w:val="20"/>
              </w:rPr>
              <w:t>ezenkivül</w:t>
            </w:r>
            <w:r w:rsidRPr="00EB0A50">
              <w:rPr>
                <w:bCs/>
                <w:i/>
                <w:iCs/>
                <w:sz w:val="20"/>
              </w:rPr>
              <w:t xml:space="preserve"> rendszeresen adunk fogyasztói tájékoztatást, </w:t>
            </w:r>
            <w:r w:rsidR="00BF5DC1" w:rsidRPr="00EB0A50">
              <w:rPr>
                <w:bCs/>
                <w:i/>
                <w:iCs/>
                <w:sz w:val="20"/>
              </w:rPr>
              <w:t>melyet hatékonyabb módszernek tartunk.</w:t>
            </w:r>
            <w:r w:rsidR="00992CF0" w:rsidRPr="00EB0A50">
              <w:rPr>
                <w:bCs/>
                <w:i/>
                <w:iCs/>
                <w:sz w:val="20"/>
              </w:rPr>
              <w:t xml:space="preserve"> Megjelenési lehetőségeink nem teszik szükségessé a kötelező promóció előírását, ezért ezt teljesen feleslegesnek tartjuk. Novemberben elindítottuk a saját honlapunkat, melyet teljes mértékben anyagiak nélkül kellett magvalósítani. Jónak tartottuk volna, ha a promóciós költségekből erre a célra is lehetett volna anyagiakat fordítani.</w:t>
            </w:r>
          </w:p>
          <w:p w:rsidR="001B6274" w:rsidRPr="000778BD" w:rsidRDefault="001B6274" w:rsidP="005E3087">
            <w:pPr>
              <w:rPr>
                <w:b/>
                <w:bCs/>
                <w:i/>
                <w:iCs/>
                <w:sz w:val="20"/>
              </w:rPr>
            </w:pPr>
          </w:p>
          <w:p w:rsidR="001B6274" w:rsidRPr="000778BD" w:rsidRDefault="001B6274" w:rsidP="005E3087">
            <w:pPr>
              <w:rPr>
                <w:b/>
                <w:bCs/>
                <w:i/>
                <w:iCs/>
                <w:sz w:val="20"/>
              </w:rPr>
            </w:pPr>
          </w:p>
        </w:tc>
      </w:tr>
      <w:tr w:rsidR="001B6274" w:rsidRPr="00EB0A50" w:rsidTr="005E308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6274" w:rsidRPr="000778BD" w:rsidRDefault="001B6274" w:rsidP="005E3087">
            <w:pPr>
              <w:rPr>
                <w:b/>
                <w:bCs/>
                <w:i/>
                <w:iCs/>
                <w:sz w:val="20"/>
                <w:highlight w:val="lightGray"/>
              </w:rPr>
            </w:pPr>
            <w:r w:rsidRPr="000778BD">
              <w:rPr>
                <w:b/>
                <w:bCs/>
                <w:i/>
                <w:iCs/>
                <w:sz w:val="20"/>
                <w:highlight w:val="lightGray"/>
              </w:rPr>
              <w:t>8. Ismertesse, milyen szakmai rendezvényen/képzésen vettek részt a testület tagjai. Mutassa be és csatolja a testület kiadványait és publikációit.</w:t>
            </w:r>
          </w:p>
        </w:tc>
      </w:tr>
      <w:tr w:rsidR="001B6274" w:rsidRPr="00EB0A50" w:rsidTr="005E308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274" w:rsidRPr="000778BD" w:rsidRDefault="001B6274" w:rsidP="005E3087">
            <w:pPr>
              <w:rPr>
                <w:b/>
                <w:bCs/>
                <w:i/>
                <w:iCs/>
                <w:sz w:val="20"/>
              </w:rPr>
            </w:pPr>
          </w:p>
          <w:p w:rsidR="00B6782C" w:rsidRPr="000778BD" w:rsidRDefault="00B6782C" w:rsidP="00B6782C">
            <w:pPr>
              <w:rPr>
                <w:b/>
                <w:bCs/>
                <w:i/>
                <w:iCs/>
                <w:sz w:val="20"/>
              </w:rPr>
            </w:pPr>
            <w:r w:rsidRPr="00EB0A50">
              <w:rPr>
                <w:bCs/>
                <w:i/>
                <w:iCs/>
                <w:sz w:val="20"/>
              </w:rPr>
              <w:t xml:space="preserve">Ebben az időszakban továbbképzésen nem vettünk részt. </w:t>
            </w:r>
            <w:r w:rsidR="00EB0A50" w:rsidRPr="00EB0A50">
              <w:rPr>
                <w:bCs/>
                <w:i/>
                <w:iCs/>
                <w:sz w:val="20"/>
              </w:rPr>
              <w:t>Belső szakmai konferenciát decemberben rendeztünk</w:t>
            </w:r>
            <w:r w:rsidR="00EB0A50" w:rsidRPr="00EB0A50">
              <w:rPr>
                <w:b/>
                <w:bCs/>
                <w:i/>
                <w:iCs/>
                <w:sz w:val="20"/>
              </w:rPr>
              <w:t>.</w:t>
            </w:r>
            <w:r w:rsidR="00EB0A50">
              <w:rPr>
                <w:b/>
                <w:bCs/>
                <w:i/>
                <w:iCs/>
                <w:sz w:val="20"/>
              </w:rPr>
              <w:t xml:space="preserve"> </w:t>
            </w:r>
          </w:p>
          <w:p w:rsidR="001B6274" w:rsidRPr="000778BD" w:rsidRDefault="001B6274" w:rsidP="005E3087">
            <w:pPr>
              <w:rPr>
                <w:b/>
                <w:bCs/>
                <w:i/>
                <w:iCs/>
                <w:sz w:val="20"/>
              </w:rPr>
            </w:pPr>
          </w:p>
          <w:p w:rsidR="001B6274" w:rsidRPr="000778BD" w:rsidRDefault="001B6274" w:rsidP="005E3087">
            <w:pPr>
              <w:rPr>
                <w:b/>
                <w:bCs/>
                <w:i/>
                <w:iCs/>
                <w:sz w:val="20"/>
              </w:rPr>
            </w:pPr>
          </w:p>
        </w:tc>
      </w:tr>
      <w:tr w:rsidR="001B6274" w:rsidRPr="000778BD" w:rsidTr="005E308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6274" w:rsidRDefault="001B6274" w:rsidP="005E3087">
            <w:pPr>
              <w:rPr>
                <w:b/>
                <w:bCs/>
                <w:i/>
                <w:iCs/>
                <w:sz w:val="20"/>
              </w:rPr>
            </w:pPr>
            <w:r w:rsidRPr="00EB0A50">
              <w:rPr>
                <w:b/>
                <w:bCs/>
                <w:i/>
                <w:iCs/>
                <w:sz w:val="20"/>
              </w:rPr>
              <w:t>9. Ismertesse tanácsadási tevékenysége során szerzett tapasztalatokat, a testület tanácsadási rendszerét, illetve ügyfélszolgálatának működését.</w:t>
            </w:r>
          </w:p>
          <w:p w:rsidR="00EB0A50" w:rsidRPr="00EB0A50" w:rsidRDefault="00EB0A50" w:rsidP="005E3087">
            <w:pPr>
              <w:rPr>
                <w:b/>
                <w:bCs/>
                <w:i/>
                <w:iCs/>
                <w:sz w:val="20"/>
              </w:rPr>
            </w:pPr>
          </w:p>
          <w:p w:rsidR="00B6782C" w:rsidRPr="00EB0A50" w:rsidRDefault="00B6782C" w:rsidP="00B6782C">
            <w:pPr>
              <w:rPr>
                <w:b/>
                <w:bCs/>
                <w:i/>
                <w:iCs/>
                <w:color w:val="FFFFFF" w:themeColor="background1"/>
                <w:sz w:val="20"/>
              </w:rPr>
            </w:pPr>
            <w:r w:rsidRPr="00EB0A50">
              <w:rPr>
                <w:bCs/>
                <w:i/>
                <w:iCs/>
                <w:sz w:val="20"/>
              </w:rPr>
              <w:t>A tanácsadás hatékonyabb megszervezésére szükség lenne a tanácsadók díjának biztosítására. Sajnos a tanácsadást az anyagiak hiánya miatt legtöbb esetben az elnök tartja, ami viszont hátráltatja az eljárásokban való részvételt. Jelenleg heti három alkalommal tartunk tanácsadást, de a panaszosokat bármikor fogadjuk, mivel a titkárnőnk illetve az elnök szinte minden nap Testület hivatalos helyiségében tartózkodik</w:t>
            </w:r>
          </w:p>
          <w:p w:rsidR="001B6274" w:rsidRPr="000778BD" w:rsidRDefault="001B6274" w:rsidP="005E3087">
            <w:pPr>
              <w:rPr>
                <w:b/>
                <w:bCs/>
                <w:i/>
                <w:iCs/>
                <w:sz w:val="20"/>
                <w:highlight w:val="lightGray"/>
              </w:rPr>
            </w:pPr>
          </w:p>
        </w:tc>
      </w:tr>
      <w:tr w:rsidR="001B6274" w:rsidRPr="000778BD" w:rsidTr="005E308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6274" w:rsidRDefault="001B6274" w:rsidP="005E3087">
            <w:pPr>
              <w:rPr>
                <w:rFonts w:ascii="Futura_PFL" w:hAnsi="Futura_PFL"/>
                <w:b/>
                <w:bCs/>
                <w:i/>
                <w:iCs/>
                <w:sz w:val="20"/>
                <w:highlight w:val="lightGray"/>
              </w:rPr>
            </w:pPr>
            <w:r>
              <w:rPr>
                <w:rFonts w:ascii="Futura_PFL" w:hAnsi="Futura_PFL"/>
                <w:b/>
                <w:bCs/>
                <w:i/>
                <w:iCs/>
                <w:sz w:val="20"/>
                <w:highlight w:val="lightGray"/>
              </w:rPr>
              <w:t>10</w:t>
            </w:r>
            <w:r w:rsidRPr="00D24283">
              <w:rPr>
                <w:rFonts w:ascii="Futura_PFL" w:hAnsi="Futura_PFL"/>
                <w:b/>
                <w:bCs/>
                <w:i/>
                <w:iCs/>
                <w:sz w:val="20"/>
                <w:highlight w:val="lightGray"/>
              </w:rPr>
              <w:t xml:space="preserve">. Ismertesse </w:t>
            </w:r>
            <w:r>
              <w:rPr>
                <w:rFonts w:ascii="Futura_PFL" w:hAnsi="Futura_PFL"/>
                <w:b/>
                <w:bCs/>
                <w:i/>
                <w:iCs/>
                <w:sz w:val="20"/>
                <w:highlight w:val="lightGray"/>
              </w:rPr>
              <w:t>az OVR rendelet által létrehozott online platform működésének gyakorlatát és a tapasztalatokat.</w:t>
            </w:r>
          </w:p>
          <w:p w:rsidR="001B6274" w:rsidRDefault="00B6782C" w:rsidP="005E3087">
            <w:pPr>
              <w:rPr>
                <w:rFonts w:ascii="Futura_PFL" w:hAnsi="Futura_PFL"/>
                <w:b/>
                <w:bCs/>
                <w:i/>
                <w:iCs/>
                <w:sz w:val="20"/>
                <w:highlight w:val="lightGray"/>
              </w:rPr>
            </w:pPr>
            <w:r w:rsidRPr="00EB0A50">
              <w:rPr>
                <w:rFonts w:ascii="Futura_PFL" w:hAnsi="Futura_PFL"/>
                <w:bCs/>
                <w:i/>
                <w:iCs/>
                <w:sz w:val="20"/>
                <w:highlight w:val="lightGray"/>
              </w:rPr>
              <w:t>Nincs érdemi tapasztalatunk</w:t>
            </w:r>
            <w:r>
              <w:rPr>
                <w:rFonts w:ascii="Futura_PFL" w:hAnsi="Futura_PFL"/>
                <w:b/>
                <w:bCs/>
                <w:i/>
                <w:iCs/>
                <w:sz w:val="20"/>
                <w:highlight w:val="lightGray"/>
              </w:rPr>
              <w:t>.</w:t>
            </w:r>
          </w:p>
          <w:p w:rsidR="001B6274" w:rsidRDefault="001B6274" w:rsidP="005E3087">
            <w:pPr>
              <w:rPr>
                <w:rFonts w:ascii="Futura_PFL" w:hAnsi="Futura_PFL"/>
                <w:b/>
                <w:bCs/>
                <w:i/>
                <w:iCs/>
                <w:sz w:val="20"/>
                <w:highlight w:val="lightGray"/>
              </w:rPr>
            </w:pPr>
          </w:p>
          <w:p w:rsidR="001B6274" w:rsidRPr="00D24283" w:rsidRDefault="001B6274" w:rsidP="005E3087">
            <w:pPr>
              <w:rPr>
                <w:rFonts w:ascii="Futura_PFL" w:hAnsi="Futura_PFL"/>
                <w:b/>
                <w:bCs/>
                <w:i/>
                <w:iCs/>
                <w:sz w:val="20"/>
                <w:highlight w:val="lightGray"/>
              </w:rPr>
            </w:pPr>
          </w:p>
        </w:tc>
      </w:tr>
      <w:tr w:rsidR="001B6274" w:rsidRPr="000778BD" w:rsidTr="005E308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B6274" w:rsidRPr="000778BD" w:rsidRDefault="001B6274" w:rsidP="005E3087">
            <w:pPr>
              <w:rPr>
                <w:b/>
                <w:bCs/>
                <w:i/>
                <w:iCs/>
                <w:sz w:val="20"/>
                <w:highlight w:val="lightGray"/>
              </w:rPr>
            </w:pPr>
            <w:r>
              <w:rPr>
                <w:b/>
                <w:bCs/>
                <w:i/>
                <w:iCs/>
                <w:sz w:val="20"/>
                <w:highlight w:val="lightGray"/>
              </w:rPr>
              <w:t>11</w:t>
            </w:r>
            <w:r w:rsidRPr="000778BD">
              <w:rPr>
                <w:b/>
                <w:bCs/>
                <w:i/>
                <w:iCs/>
                <w:sz w:val="20"/>
                <w:highlight w:val="lightGray"/>
              </w:rPr>
              <w:t>. Mutassa be média és PR megjelenéseit (TV, rádió, online, nyomtatott sajtó).</w:t>
            </w:r>
          </w:p>
          <w:p w:rsidR="001B6274" w:rsidRPr="000778BD" w:rsidRDefault="00BF5DC1" w:rsidP="00B6782C">
            <w:pPr>
              <w:rPr>
                <w:b/>
                <w:bCs/>
                <w:i/>
                <w:iCs/>
                <w:sz w:val="20"/>
                <w:highlight w:val="lightGray"/>
              </w:rPr>
            </w:pPr>
            <w:r w:rsidRPr="00EB0A50">
              <w:rPr>
                <w:bCs/>
                <w:i/>
                <w:iCs/>
                <w:sz w:val="20"/>
                <w:highlight w:val="lightGray"/>
              </w:rPr>
              <w:t>A</w:t>
            </w:r>
            <w:r w:rsidR="00B6782C" w:rsidRPr="00EB0A50">
              <w:rPr>
                <w:bCs/>
                <w:i/>
                <w:iCs/>
                <w:sz w:val="20"/>
                <w:highlight w:val="lightGray"/>
              </w:rPr>
              <w:t xml:space="preserve"> Kisalföld hasábjain fogyasztóvédelmi tanácsokkal rendszeresen jelentkezünk</w:t>
            </w:r>
            <w:r w:rsidR="00EB0A50">
              <w:rPr>
                <w:b/>
                <w:bCs/>
                <w:i/>
                <w:iCs/>
                <w:sz w:val="20"/>
                <w:highlight w:val="lightGray"/>
              </w:rPr>
              <w:t>, elindítottuk a saját honlapot.</w:t>
            </w:r>
          </w:p>
        </w:tc>
      </w:tr>
      <w:tr w:rsidR="001B6274" w:rsidRPr="000778BD" w:rsidTr="005E3087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1669"/>
        </w:trPr>
        <w:tc>
          <w:tcPr>
            <w:tcW w:w="9612" w:type="dxa"/>
          </w:tcPr>
          <w:p w:rsidR="001B6274" w:rsidRPr="000778BD" w:rsidRDefault="001B6274" w:rsidP="005E3087">
            <w:pPr>
              <w:jc w:val="both"/>
              <w:rPr>
                <w:b/>
                <w:i/>
                <w:iCs/>
                <w:sz w:val="20"/>
              </w:rPr>
            </w:pPr>
            <w:r w:rsidRPr="000778BD">
              <w:rPr>
                <w:b/>
                <w:i/>
                <w:iCs/>
                <w:sz w:val="20"/>
                <w:highlight w:val="lightGray"/>
              </w:rPr>
              <w:t>1</w:t>
            </w:r>
            <w:r>
              <w:rPr>
                <w:b/>
                <w:i/>
                <w:iCs/>
                <w:sz w:val="20"/>
                <w:highlight w:val="lightGray"/>
              </w:rPr>
              <w:t>2</w:t>
            </w:r>
            <w:r w:rsidRPr="000778BD">
              <w:rPr>
                <w:b/>
                <w:i/>
                <w:iCs/>
                <w:sz w:val="20"/>
                <w:highlight w:val="lightGray"/>
              </w:rPr>
              <w:t>. A szakmai beszámoló kötelező mellékletei</w:t>
            </w:r>
          </w:p>
          <w:p w:rsidR="001B6274" w:rsidRPr="000778BD" w:rsidRDefault="001B6274" w:rsidP="005E3087">
            <w:pPr>
              <w:rPr>
                <w:i/>
                <w:iCs/>
                <w:sz w:val="20"/>
              </w:rPr>
            </w:pPr>
            <w:r w:rsidRPr="000778BD">
              <w:rPr>
                <w:i/>
                <w:iCs/>
                <w:sz w:val="20"/>
              </w:rPr>
              <w:t>Kérjük, az alábbi mellékletet nyújtsák be finanszírozási időszakonként a szakmai beszámoló részeként:</w:t>
            </w:r>
          </w:p>
          <w:p w:rsidR="001B6274" w:rsidRPr="000778BD" w:rsidRDefault="001B6274" w:rsidP="005E3087">
            <w:pPr>
              <w:rPr>
                <w:sz w:val="20"/>
              </w:rPr>
            </w:pPr>
          </w:p>
          <w:tbl>
            <w:tblPr>
              <w:tblW w:w="0" w:type="auto"/>
              <w:jc w:val="center"/>
              <w:tblInd w:w="214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8323"/>
            </w:tblGrid>
            <w:tr w:rsidR="001B6274" w:rsidRPr="000778BD" w:rsidTr="005E3087">
              <w:trPr>
                <w:jc w:val="center"/>
              </w:trPr>
              <w:tc>
                <w:tcPr>
                  <w:tcW w:w="808" w:type="dxa"/>
                </w:tcPr>
                <w:p w:rsidR="001B6274" w:rsidRPr="000778BD" w:rsidRDefault="001B6274" w:rsidP="005E3087">
                  <w:pPr>
                    <w:jc w:val="center"/>
                    <w:rPr>
                      <w:sz w:val="20"/>
                    </w:rPr>
                  </w:pPr>
                  <w:r w:rsidRPr="000778BD">
                    <w:rPr>
                      <w:sz w:val="20"/>
                    </w:rPr>
                    <w:t>(M1)</w:t>
                  </w:r>
                </w:p>
                <w:p w:rsidR="001B6274" w:rsidRPr="000778BD" w:rsidRDefault="001B6274" w:rsidP="005E3087">
                  <w:pPr>
                    <w:jc w:val="center"/>
                    <w:rPr>
                      <w:sz w:val="20"/>
                    </w:rPr>
                  </w:pPr>
                  <w:r w:rsidRPr="000778BD">
                    <w:rPr>
                      <w:sz w:val="20"/>
                    </w:rPr>
                    <w:t>(M2/A)</w:t>
                  </w:r>
                </w:p>
                <w:p w:rsidR="001B6274" w:rsidRPr="000778BD" w:rsidRDefault="001B6274" w:rsidP="005E3087">
                  <w:pPr>
                    <w:jc w:val="center"/>
                    <w:rPr>
                      <w:sz w:val="20"/>
                    </w:rPr>
                  </w:pPr>
                  <w:r w:rsidRPr="000778BD">
                    <w:rPr>
                      <w:sz w:val="20"/>
                    </w:rPr>
                    <w:t>(M2/B)</w:t>
                  </w:r>
                </w:p>
                <w:p w:rsidR="001B6274" w:rsidRPr="000778BD" w:rsidRDefault="001B6274" w:rsidP="005E3087">
                  <w:pPr>
                    <w:jc w:val="center"/>
                    <w:rPr>
                      <w:sz w:val="20"/>
                    </w:rPr>
                  </w:pPr>
                  <w:r w:rsidRPr="000778BD">
                    <w:rPr>
                      <w:sz w:val="20"/>
                    </w:rPr>
                    <w:t>(M3/A,B)</w:t>
                  </w:r>
                </w:p>
                <w:p w:rsidR="001B6274" w:rsidRPr="000778BD" w:rsidRDefault="001B6274" w:rsidP="005E3087">
                  <w:pPr>
                    <w:jc w:val="center"/>
                    <w:rPr>
                      <w:sz w:val="20"/>
                    </w:rPr>
                  </w:pPr>
                  <w:r w:rsidRPr="000778BD">
                    <w:rPr>
                      <w:sz w:val="20"/>
                    </w:rPr>
                    <w:t>(M4)</w:t>
                  </w:r>
                </w:p>
              </w:tc>
              <w:tc>
                <w:tcPr>
                  <w:tcW w:w="8434" w:type="dxa"/>
                </w:tcPr>
                <w:p w:rsidR="001B6274" w:rsidRPr="000778BD" w:rsidRDefault="001B6274" w:rsidP="005E3087">
                  <w:pPr>
                    <w:ind w:left="4489" w:hanging="4489"/>
                    <w:jc w:val="both"/>
                    <w:rPr>
                      <w:sz w:val="20"/>
                    </w:rPr>
                  </w:pPr>
                  <w:r w:rsidRPr="000778BD">
                    <w:rPr>
                      <w:sz w:val="20"/>
                    </w:rPr>
                    <w:t>Statisztikai adatlap a békéltető testület ügytípusainak megoszlásáról</w:t>
                  </w:r>
                </w:p>
                <w:p w:rsidR="001B6274" w:rsidRPr="000778BD" w:rsidRDefault="001B6274" w:rsidP="005E3087">
                  <w:pPr>
                    <w:jc w:val="both"/>
                    <w:rPr>
                      <w:sz w:val="20"/>
                    </w:rPr>
                  </w:pPr>
                  <w:r w:rsidRPr="000778BD">
                    <w:rPr>
                      <w:sz w:val="20"/>
                    </w:rPr>
                    <w:t>Statisztikai adatlap a békéltető testületi ügyek Termékek szerinti megoszlásáról</w:t>
                  </w:r>
                </w:p>
                <w:p w:rsidR="001B6274" w:rsidRPr="000778BD" w:rsidRDefault="001B6274" w:rsidP="005E3087">
                  <w:pPr>
                    <w:jc w:val="both"/>
                    <w:rPr>
                      <w:sz w:val="20"/>
                    </w:rPr>
                  </w:pPr>
                  <w:r w:rsidRPr="000778BD">
                    <w:rPr>
                      <w:sz w:val="20"/>
                    </w:rPr>
                    <w:t>Statisztikai adatlap a békéltető testületi ügyek Szolgáltatások szerinti megoszlásáról</w:t>
                  </w:r>
                </w:p>
                <w:p w:rsidR="001B6274" w:rsidRPr="000778BD" w:rsidRDefault="001B6274" w:rsidP="005E3087">
                  <w:pPr>
                    <w:jc w:val="both"/>
                    <w:rPr>
                      <w:sz w:val="20"/>
                    </w:rPr>
                  </w:pPr>
                  <w:r w:rsidRPr="000778BD">
                    <w:rPr>
                      <w:sz w:val="20"/>
                    </w:rPr>
                    <w:t>Statisztikai adatlapok a békéltető testület tagjainak tevékenységéről</w:t>
                  </w:r>
                </w:p>
                <w:p w:rsidR="001B6274" w:rsidRPr="000778BD" w:rsidRDefault="001B6274" w:rsidP="005E3087">
                  <w:pPr>
                    <w:jc w:val="both"/>
                    <w:rPr>
                      <w:sz w:val="20"/>
                    </w:rPr>
                  </w:pPr>
                  <w:r w:rsidRPr="000778BD">
                    <w:rPr>
                      <w:sz w:val="20"/>
                    </w:rPr>
                    <w:t>Statisztikai adatlap a békéltető testület döntéseinek bíróság előtti megtámadásáról</w:t>
                  </w:r>
                </w:p>
                <w:p w:rsidR="001B6274" w:rsidRPr="000778BD" w:rsidRDefault="001B6274" w:rsidP="005E3087">
                  <w:pPr>
                    <w:ind w:left="-809"/>
                    <w:jc w:val="both"/>
                    <w:rPr>
                      <w:sz w:val="20"/>
                    </w:rPr>
                  </w:pPr>
                  <w:r w:rsidRPr="000778BD"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1B6274" w:rsidRPr="000778BD" w:rsidRDefault="001B6274" w:rsidP="005E3087">
            <w:pPr>
              <w:rPr>
                <w:sz w:val="20"/>
              </w:rPr>
            </w:pPr>
          </w:p>
        </w:tc>
      </w:tr>
    </w:tbl>
    <w:p w:rsidR="001B6274" w:rsidRPr="000778BD" w:rsidRDefault="001B6274" w:rsidP="001B6274">
      <w:pPr>
        <w:rPr>
          <w:b/>
          <w:sz w:val="20"/>
        </w:rPr>
      </w:pPr>
    </w:p>
    <w:tbl>
      <w:tblPr>
        <w:tblW w:w="961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2"/>
      </w:tblGrid>
      <w:tr w:rsidR="001B6274" w:rsidRPr="000778BD" w:rsidTr="005E3087">
        <w:trPr>
          <w:trHeight w:val="3250"/>
        </w:trPr>
        <w:tc>
          <w:tcPr>
            <w:tcW w:w="9612" w:type="dxa"/>
          </w:tcPr>
          <w:p w:rsidR="001B6274" w:rsidRPr="000778BD" w:rsidRDefault="001B6274" w:rsidP="005E3087">
            <w:pPr>
              <w:ind w:left="-27"/>
              <w:jc w:val="both"/>
              <w:rPr>
                <w:b/>
                <w:bCs/>
                <w:i/>
                <w:iCs/>
                <w:sz w:val="20"/>
              </w:rPr>
            </w:pPr>
            <w:r w:rsidRPr="000778BD">
              <w:rPr>
                <w:b/>
                <w:bCs/>
                <w:i/>
                <w:iCs/>
                <w:sz w:val="20"/>
              </w:rPr>
              <w:t>A szakmai beszámoló hitelesítése</w:t>
            </w:r>
          </w:p>
          <w:p w:rsidR="001B6274" w:rsidRPr="000778BD" w:rsidRDefault="001B6274" w:rsidP="005E3087">
            <w:pPr>
              <w:ind w:left="-27"/>
              <w:jc w:val="both"/>
              <w:rPr>
                <w:bCs/>
                <w:i/>
                <w:iCs/>
                <w:sz w:val="20"/>
              </w:rPr>
            </w:pPr>
          </w:p>
          <w:p w:rsidR="001B6274" w:rsidRPr="000778BD" w:rsidRDefault="001B6274" w:rsidP="005E3087">
            <w:pPr>
              <w:ind w:left="-27"/>
              <w:jc w:val="both"/>
              <w:rPr>
                <w:bCs/>
                <w:i/>
                <w:iCs/>
                <w:sz w:val="20"/>
              </w:rPr>
            </w:pPr>
            <w:r w:rsidRPr="000778BD">
              <w:rPr>
                <w:bCs/>
                <w:i/>
                <w:iCs/>
                <w:sz w:val="20"/>
              </w:rPr>
              <w:t xml:space="preserve">Alulírott </w:t>
            </w:r>
            <w:r>
              <w:rPr>
                <w:bCs/>
                <w:i/>
                <w:iCs/>
                <w:sz w:val="20"/>
              </w:rPr>
              <w:t>Közreműködő</w:t>
            </w:r>
            <w:r w:rsidRPr="000778BD">
              <w:rPr>
                <w:bCs/>
                <w:i/>
                <w:iCs/>
                <w:sz w:val="20"/>
              </w:rPr>
              <w:t xml:space="preserve"> kijelentem, hogy a Szakmai beszámolóban szereplő adatok és a mellékelt dokumentumok hitelesek és a valóságnak megfelelnek.</w:t>
            </w:r>
          </w:p>
          <w:p w:rsidR="001B6274" w:rsidRPr="000778BD" w:rsidRDefault="001B6274" w:rsidP="005E3087">
            <w:pPr>
              <w:ind w:left="-27"/>
              <w:jc w:val="both"/>
              <w:rPr>
                <w:bCs/>
                <w:i/>
                <w:iCs/>
                <w:sz w:val="20"/>
              </w:rPr>
            </w:pPr>
          </w:p>
          <w:p w:rsidR="001B6274" w:rsidRPr="000778BD" w:rsidRDefault="001B6274" w:rsidP="005E3087">
            <w:pPr>
              <w:ind w:left="-27"/>
              <w:jc w:val="both"/>
              <w:rPr>
                <w:bCs/>
                <w:i/>
                <w:iCs/>
                <w:sz w:val="20"/>
              </w:rPr>
            </w:pPr>
          </w:p>
          <w:p w:rsidR="001B6274" w:rsidRPr="000778BD" w:rsidRDefault="001B6274" w:rsidP="005E3087">
            <w:pPr>
              <w:jc w:val="both"/>
              <w:rPr>
                <w:bCs/>
                <w:i/>
                <w:iCs/>
                <w:sz w:val="20"/>
              </w:rPr>
            </w:pPr>
            <w:r w:rsidRPr="000778BD">
              <w:rPr>
                <w:bCs/>
                <w:i/>
                <w:iCs/>
                <w:sz w:val="20"/>
              </w:rPr>
              <w:t>Dátum: _</w:t>
            </w:r>
            <w:r w:rsidR="00B6782C">
              <w:rPr>
                <w:bCs/>
                <w:i/>
                <w:iCs/>
                <w:sz w:val="20"/>
              </w:rPr>
              <w:t xml:space="preserve">Győr, </w:t>
            </w:r>
            <w:r w:rsidR="00CC4388">
              <w:rPr>
                <w:bCs/>
                <w:i/>
                <w:iCs/>
                <w:sz w:val="20"/>
              </w:rPr>
              <w:t>2016.02.04</w:t>
            </w:r>
            <w:r w:rsidRPr="000778BD">
              <w:rPr>
                <w:bCs/>
                <w:i/>
                <w:iCs/>
                <w:sz w:val="20"/>
              </w:rPr>
              <w:t>____________________</w:t>
            </w:r>
          </w:p>
          <w:p w:rsidR="001B6274" w:rsidRPr="000778BD" w:rsidRDefault="00BF5DC1" w:rsidP="005E3087">
            <w:pPr>
              <w:ind w:left="-27"/>
              <w:jc w:val="both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  <w:t>.</w:t>
            </w:r>
          </w:p>
          <w:p w:rsidR="001B6274" w:rsidRPr="000778BD" w:rsidRDefault="001B6274" w:rsidP="005E3087">
            <w:pPr>
              <w:ind w:left="-27"/>
              <w:jc w:val="both"/>
              <w:rPr>
                <w:bCs/>
                <w:i/>
                <w:iCs/>
                <w:sz w:val="20"/>
              </w:rPr>
            </w:pPr>
          </w:p>
          <w:p w:rsidR="001B6274" w:rsidRPr="000778BD" w:rsidRDefault="001B6274" w:rsidP="005E3087">
            <w:pPr>
              <w:ind w:left="-27" w:right="186"/>
              <w:jc w:val="right"/>
              <w:rPr>
                <w:bCs/>
                <w:i/>
                <w:iCs/>
              </w:rPr>
            </w:pPr>
            <w:r w:rsidRPr="000778BD">
              <w:rPr>
                <w:bCs/>
                <w:i/>
                <w:iCs/>
              </w:rPr>
              <w:t>_________________________</w:t>
            </w:r>
          </w:p>
          <w:p w:rsidR="001B6274" w:rsidRPr="000778BD" w:rsidRDefault="001B6274" w:rsidP="005E3087">
            <w:pPr>
              <w:ind w:left="-27" w:right="186"/>
              <w:jc w:val="right"/>
              <w:rPr>
                <w:bCs/>
                <w:i/>
                <w:iCs/>
                <w:sz w:val="20"/>
              </w:rPr>
            </w:pPr>
            <w:r w:rsidRPr="000778BD">
              <w:t>a testület elnökének cégszerű aláírása</w:t>
            </w:r>
          </w:p>
        </w:tc>
      </w:tr>
    </w:tbl>
    <w:p w:rsidR="001B6274" w:rsidRPr="000778BD" w:rsidRDefault="001B6274" w:rsidP="001B6274">
      <w:pPr>
        <w:ind w:left="6381"/>
        <w:jc w:val="right"/>
        <w:rPr>
          <w:b/>
        </w:rPr>
        <w:sectPr w:rsidR="001B6274" w:rsidRPr="000778BD" w:rsidSect="001B6274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 w:code="9"/>
          <w:pgMar w:top="567" w:right="567" w:bottom="567" w:left="737" w:header="709" w:footer="454" w:gutter="0"/>
          <w:cols w:space="708"/>
        </w:sectPr>
      </w:pPr>
    </w:p>
    <w:p w:rsidR="008C45BA" w:rsidRDefault="008C45BA"/>
    <w:sectPr w:rsidR="008C45BA" w:rsidSect="008C45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8FF" w:rsidRDefault="00E178FF" w:rsidP="00F954EC">
      <w:r>
        <w:separator/>
      </w:r>
    </w:p>
  </w:endnote>
  <w:endnote w:type="continuationSeparator" w:id="0">
    <w:p w:rsidR="00E178FF" w:rsidRDefault="00E178FF" w:rsidP="00F95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_PFL">
    <w:altName w:val="Times New Roman"/>
    <w:charset w:val="EE"/>
    <w:family w:val="auto"/>
    <w:pitch w:val="variable"/>
    <w:sig w:usb0="8000002F" w:usb1="00002148" w:usb2="00000000" w:usb3="00000000" w:csb0="0000008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195" w:rsidRDefault="004B0EF0" w:rsidP="00C133C0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1B6274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383195" w:rsidRDefault="00E178FF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195" w:rsidRDefault="004B0EF0" w:rsidP="00C133C0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1B627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8324E">
      <w:rPr>
        <w:rStyle w:val="Oldalszm"/>
        <w:noProof/>
      </w:rPr>
      <w:t>1</w:t>
    </w:r>
    <w:r>
      <w:rPr>
        <w:rStyle w:val="Oldalszm"/>
      </w:rPr>
      <w:fldChar w:fldCharType="end"/>
    </w:r>
  </w:p>
  <w:p w:rsidR="00383195" w:rsidRDefault="00E178F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8FF" w:rsidRDefault="00E178FF" w:rsidP="00F954EC">
      <w:r>
        <w:separator/>
      </w:r>
    </w:p>
  </w:footnote>
  <w:footnote w:type="continuationSeparator" w:id="0">
    <w:p w:rsidR="00E178FF" w:rsidRDefault="00E178FF" w:rsidP="00F954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195" w:rsidRDefault="004B0EF0" w:rsidP="00C133C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1B6274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383195" w:rsidRDefault="00E178FF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195" w:rsidRDefault="00E178FF" w:rsidP="00C133C0">
    <w:pPr>
      <w:pStyle w:val="lfej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274"/>
    <w:rsid w:val="00057A4B"/>
    <w:rsid w:val="000A7F75"/>
    <w:rsid w:val="000D5B45"/>
    <w:rsid w:val="000E7A27"/>
    <w:rsid w:val="00151CAC"/>
    <w:rsid w:val="001A7DEC"/>
    <w:rsid w:val="001B6274"/>
    <w:rsid w:val="001E3856"/>
    <w:rsid w:val="00350B9D"/>
    <w:rsid w:val="003F59D8"/>
    <w:rsid w:val="004003FE"/>
    <w:rsid w:val="004345C4"/>
    <w:rsid w:val="004368E5"/>
    <w:rsid w:val="00441422"/>
    <w:rsid w:val="00492C4E"/>
    <w:rsid w:val="004B0EF0"/>
    <w:rsid w:val="00514EA6"/>
    <w:rsid w:val="00521E38"/>
    <w:rsid w:val="005834AF"/>
    <w:rsid w:val="005D1B96"/>
    <w:rsid w:val="005D678C"/>
    <w:rsid w:val="0068324E"/>
    <w:rsid w:val="006D2890"/>
    <w:rsid w:val="006D2931"/>
    <w:rsid w:val="00750FDB"/>
    <w:rsid w:val="00755D87"/>
    <w:rsid w:val="008634A1"/>
    <w:rsid w:val="008859A1"/>
    <w:rsid w:val="008C45BA"/>
    <w:rsid w:val="008F6E73"/>
    <w:rsid w:val="00992CF0"/>
    <w:rsid w:val="009C5364"/>
    <w:rsid w:val="009F6CDE"/>
    <w:rsid w:val="00A54C2B"/>
    <w:rsid w:val="00A575A9"/>
    <w:rsid w:val="00A9673F"/>
    <w:rsid w:val="00AC3FF8"/>
    <w:rsid w:val="00AD32A2"/>
    <w:rsid w:val="00B02DC1"/>
    <w:rsid w:val="00B21E27"/>
    <w:rsid w:val="00B6782C"/>
    <w:rsid w:val="00BF5DC1"/>
    <w:rsid w:val="00CC4388"/>
    <w:rsid w:val="00D20E4F"/>
    <w:rsid w:val="00D2709A"/>
    <w:rsid w:val="00D61784"/>
    <w:rsid w:val="00D93FB9"/>
    <w:rsid w:val="00DB06C0"/>
    <w:rsid w:val="00DE2476"/>
    <w:rsid w:val="00E178FF"/>
    <w:rsid w:val="00EB0A50"/>
    <w:rsid w:val="00F61702"/>
    <w:rsid w:val="00F70A29"/>
    <w:rsid w:val="00F9345B"/>
    <w:rsid w:val="00F9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6274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5834A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unhideWhenUsed/>
    <w:qFormat/>
    <w:rsid w:val="005834A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unhideWhenUsed/>
    <w:qFormat/>
    <w:rsid w:val="005834A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unhideWhenUsed/>
    <w:qFormat/>
    <w:rsid w:val="005834AF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9"/>
    <w:unhideWhenUsed/>
    <w:qFormat/>
    <w:rsid w:val="005834AF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unhideWhenUsed/>
    <w:qFormat/>
    <w:rsid w:val="005834AF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unhideWhenUsed/>
    <w:qFormat/>
    <w:rsid w:val="005834AF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Cmsor8">
    <w:name w:val="heading 8"/>
    <w:basedOn w:val="Norml"/>
    <w:next w:val="Norml"/>
    <w:link w:val="Cmsor8Char"/>
    <w:uiPriority w:val="99"/>
    <w:unhideWhenUsed/>
    <w:qFormat/>
    <w:rsid w:val="005834AF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Cmsor9">
    <w:name w:val="heading 9"/>
    <w:basedOn w:val="Norml"/>
    <w:next w:val="Norml"/>
    <w:link w:val="Cmsor9Char"/>
    <w:unhideWhenUsed/>
    <w:qFormat/>
    <w:rsid w:val="005834AF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5834A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semiHidden/>
    <w:rsid w:val="005834A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semiHidden/>
    <w:rsid w:val="005834A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semiHidden/>
    <w:rsid w:val="005834A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semiHidden/>
    <w:rsid w:val="005834A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semiHidden/>
    <w:rsid w:val="005834AF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Cmsor7Char">
    <w:name w:val="Címsor 7 Char"/>
    <w:basedOn w:val="Bekezdsalapbettpusa"/>
    <w:link w:val="Cmsor7"/>
    <w:semiHidden/>
    <w:rsid w:val="005834AF"/>
    <w:rPr>
      <w:rFonts w:asciiTheme="minorHAnsi" w:eastAsiaTheme="minorEastAsia" w:hAnsiTheme="minorHAnsi" w:cstheme="minorBidi"/>
      <w:sz w:val="24"/>
      <w:szCs w:val="24"/>
    </w:rPr>
  </w:style>
  <w:style w:type="character" w:customStyle="1" w:styleId="Cmsor8Char">
    <w:name w:val="Címsor 8 Char"/>
    <w:basedOn w:val="Bekezdsalapbettpusa"/>
    <w:link w:val="Cmsor8"/>
    <w:semiHidden/>
    <w:rsid w:val="005834AF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rsid w:val="005834AF"/>
    <w:rPr>
      <w:rFonts w:asciiTheme="majorHAnsi" w:eastAsiaTheme="majorEastAsia" w:hAnsiTheme="majorHAnsi" w:cstheme="majorBidi"/>
      <w:sz w:val="22"/>
      <w:szCs w:val="22"/>
    </w:rPr>
  </w:style>
  <w:style w:type="paragraph" w:styleId="Cm">
    <w:name w:val="Title"/>
    <w:basedOn w:val="Norml"/>
    <w:next w:val="Norml"/>
    <w:link w:val="CmChar"/>
    <w:qFormat/>
    <w:rsid w:val="005834A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rsid w:val="005834A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lcm">
    <w:name w:val="Subtitle"/>
    <w:basedOn w:val="Norml"/>
    <w:next w:val="Norml"/>
    <w:link w:val="AlcmChar"/>
    <w:qFormat/>
    <w:rsid w:val="005834AF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lcmChar">
    <w:name w:val="Alcím Char"/>
    <w:basedOn w:val="Bekezdsalapbettpusa"/>
    <w:link w:val="Alcm"/>
    <w:rsid w:val="005834AF"/>
    <w:rPr>
      <w:rFonts w:asciiTheme="majorHAnsi" w:eastAsiaTheme="majorEastAsia" w:hAnsiTheme="majorHAnsi" w:cstheme="majorBidi"/>
      <w:sz w:val="24"/>
      <w:szCs w:val="24"/>
    </w:rPr>
  </w:style>
  <w:style w:type="character" w:styleId="Kiemels2">
    <w:name w:val="Strong"/>
    <w:basedOn w:val="Bekezdsalapbettpusa"/>
    <w:qFormat/>
    <w:rsid w:val="005834AF"/>
    <w:rPr>
      <w:b/>
      <w:bCs/>
    </w:rPr>
  </w:style>
  <w:style w:type="character" w:styleId="Kiemels">
    <w:name w:val="Emphasis"/>
    <w:basedOn w:val="Bekezdsalapbettpusa"/>
    <w:qFormat/>
    <w:rsid w:val="005834AF"/>
    <w:rPr>
      <w:i/>
      <w:iCs/>
    </w:rPr>
  </w:style>
  <w:style w:type="paragraph" w:styleId="Nincstrkz">
    <w:name w:val="No Spacing"/>
    <w:basedOn w:val="Norml"/>
    <w:link w:val="NincstrkzChar"/>
    <w:uiPriority w:val="1"/>
    <w:qFormat/>
    <w:rsid w:val="005834AF"/>
    <w:rPr>
      <w:sz w:val="20"/>
      <w:szCs w:val="20"/>
    </w:rPr>
  </w:style>
  <w:style w:type="character" w:customStyle="1" w:styleId="NincstrkzChar">
    <w:name w:val="Nincs térköz Char"/>
    <w:basedOn w:val="Bekezdsalapbettpusa"/>
    <w:link w:val="Nincstrkz"/>
    <w:uiPriority w:val="1"/>
    <w:rsid w:val="005834AF"/>
  </w:style>
  <w:style w:type="paragraph" w:styleId="Listaszerbekezds">
    <w:name w:val="List Paragraph"/>
    <w:basedOn w:val="Norml"/>
    <w:uiPriority w:val="34"/>
    <w:qFormat/>
    <w:rsid w:val="005834AF"/>
    <w:pPr>
      <w:ind w:left="708"/>
    </w:pPr>
    <w:rPr>
      <w:sz w:val="20"/>
      <w:szCs w:val="20"/>
    </w:rPr>
  </w:style>
  <w:style w:type="paragraph" w:styleId="Idzet">
    <w:name w:val="Quote"/>
    <w:basedOn w:val="Norml"/>
    <w:next w:val="Norml"/>
    <w:link w:val="IdzetChar"/>
    <w:uiPriority w:val="29"/>
    <w:qFormat/>
    <w:rsid w:val="005834AF"/>
    <w:rPr>
      <w:i/>
      <w:iCs/>
      <w:color w:val="000000" w:themeColor="text1"/>
      <w:sz w:val="20"/>
      <w:szCs w:val="20"/>
    </w:rPr>
  </w:style>
  <w:style w:type="character" w:customStyle="1" w:styleId="IdzetChar">
    <w:name w:val="Idézet Char"/>
    <w:basedOn w:val="Bekezdsalapbettpusa"/>
    <w:link w:val="Idzet"/>
    <w:uiPriority w:val="29"/>
    <w:rsid w:val="005834AF"/>
    <w:rPr>
      <w:i/>
      <w:iCs/>
      <w:color w:val="000000" w:themeColor="text1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834A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0"/>
      <w:szCs w:val="20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834AF"/>
    <w:rPr>
      <w:b/>
      <w:bCs/>
      <w:i/>
      <w:iCs/>
      <w:color w:val="4F81BD" w:themeColor="accent1"/>
    </w:rPr>
  </w:style>
  <w:style w:type="character" w:styleId="Finomkiemels">
    <w:name w:val="Subtle Emphasis"/>
    <w:uiPriority w:val="19"/>
    <w:qFormat/>
    <w:rsid w:val="005834AF"/>
    <w:rPr>
      <w:i/>
      <w:iCs/>
      <w:color w:val="808080" w:themeColor="text1" w:themeTint="7F"/>
    </w:rPr>
  </w:style>
  <w:style w:type="character" w:styleId="Ershangslyozs">
    <w:name w:val="Intense Emphasis"/>
    <w:basedOn w:val="Bekezdsalapbettpusa"/>
    <w:uiPriority w:val="21"/>
    <w:qFormat/>
    <w:rsid w:val="005834AF"/>
    <w:rPr>
      <w:b/>
      <w:bCs/>
      <w:i/>
      <w:iCs/>
      <w:color w:val="4F81BD" w:themeColor="accent1"/>
    </w:rPr>
  </w:style>
  <w:style w:type="character" w:styleId="Finomhivatkozs">
    <w:name w:val="Subtle Reference"/>
    <w:basedOn w:val="Bekezdsalapbettpusa"/>
    <w:uiPriority w:val="31"/>
    <w:qFormat/>
    <w:rsid w:val="005834AF"/>
    <w:rPr>
      <w:smallCaps/>
      <w:color w:val="C0504D" w:themeColor="accent2"/>
      <w:u w:val="single"/>
    </w:rPr>
  </w:style>
  <w:style w:type="character" w:styleId="Ershivatkozs">
    <w:name w:val="Intense Reference"/>
    <w:basedOn w:val="Bekezdsalapbettpusa"/>
    <w:uiPriority w:val="32"/>
    <w:qFormat/>
    <w:rsid w:val="005834AF"/>
    <w:rPr>
      <w:b/>
      <w:bCs/>
      <w:smallCaps/>
      <w:color w:val="C0504D" w:themeColor="accent2"/>
      <w:spacing w:val="5"/>
      <w:u w:val="single"/>
    </w:rPr>
  </w:style>
  <w:style w:type="character" w:styleId="Knyvcme">
    <w:name w:val="Book Title"/>
    <w:basedOn w:val="Bekezdsalapbettpusa"/>
    <w:uiPriority w:val="33"/>
    <w:qFormat/>
    <w:rsid w:val="005834AF"/>
    <w:rPr>
      <w:b/>
      <w:b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5834AF"/>
    <w:pPr>
      <w:outlineLvl w:val="9"/>
    </w:pPr>
  </w:style>
  <w:style w:type="paragraph" w:styleId="lfej">
    <w:name w:val="header"/>
    <w:basedOn w:val="Norml"/>
    <w:link w:val="lfejChar"/>
    <w:rsid w:val="001B62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1B6274"/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1B6274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6"/>
      <w:szCs w:val="26"/>
    </w:rPr>
  </w:style>
  <w:style w:type="character" w:customStyle="1" w:styleId="SzvegtrzsbehzssalChar">
    <w:name w:val="Szövegtörzs behúzással Char"/>
    <w:basedOn w:val="Bekezdsalapbettpusa"/>
    <w:link w:val="Szvegtrzsbehzssal"/>
    <w:rsid w:val="001B6274"/>
    <w:rPr>
      <w:sz w:val="26"/>
      <w:szCs w:val="26"/>
    </w:rPr>
  </w:style>
  <w:style w:type="paragraph" w:styleId="llb">
    <w:name w:val="footer"/>
    <w:basedOn w:val="Norml"/>
    <w:link w:val="llbChar"/>
    <w:rsid w:val="001B62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1B6274"/>
    <w:rPr>
      <w:sz w:val="24"/>
      <w:szCs w:val="24"/>
    </w:rPr>
  </w:style>
  <w:style w:type="character" w:styleId="Hiperhivatkozs">
    <w:name w:val="Hyperlink"/>
    <w:uiPriority w:val="99"/>
    <w:unhideWhenUsed/>
    <w:rsid w:val="001B6274"/>
    <w:rPr>
      <w:color w:val="0000FF"/>
      <w:u w:val="single"/>
    </w:rPr>
  </w:style>
  <w:style w:type="character" w:styleId="Oldalszm">
    <w:name w:val="page number"/>
    <w:basedOn w:val="Bekezdsalapbettpusa"/>
    <w:rsid w:val="001B6274"/>
  </w:style>
  <w:style w:type="paragraph" w:styleId="Szvegtrzs">
    <w:name w:val="Body Text"/>
    <w:basedOn w:val="Norml"/>
    <w:link w:val="SzvegtrzsChar"/>
    <w:unhideWhenUsed/>
    <w:rsid w:val="00F61702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F6170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6274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5834A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unhideWhenUsed/>
    <w:qFormat/>
    <w:rsid w:val="005834A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unhideWhenUsed/>
    <w:qFormat/>
    <w:rsid w:val="005834A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unhideWhenUsed/>
    <w:qFormat/>
    <w:rsid w:val="005834AF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9"/>
    <w:unhideWhenUsed/>
    <w:qFormat/>
    <w:rsid w:val="005834AF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unhideWhenUsed/>
    <w:qFormat/>
    <w:rsid w:val="005834AF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unhideWhenUsed/>
    <w:qFormat/>
    <w:rsid w:val="005834AF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Cmsor8">
    <w:name w:val="heading 8"/>
    <w:basedOn w:val="Norml"/>
    <w:next w:val="Norml"/>
    <w:link w:val="Cmsor8Char"/>
    <w:uiPriority w:val="99"/>
    <w:unhideWhenUsed/>
    <w:qFormat/>
    <w:rsid w:val="005834AF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Cmsor9">
    <w:name w:val="heading 9"/>
    <w:basedOn w:val="Norml"/>
    <w:next w:val="Norml"/>
    <w:link w:val="Cmsor9Char"/>
    <w:unhideWhenUsed/>
    <w:qFormat/>
    <w:rsid w:val="005834AF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5834A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semiHidden/>
    <w:rsid w:val="005834A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semiHidden/>
    <w:rsid w:val="005834A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semiHidden/>
    <w:rsid w:val="005834A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semiHidden/>
    <w:rsid w:val="005834A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semiHidden/>
    <w:rsid w:val="005834AF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Cmsor7Char">
    <w:name w:val="Címsor 7 Char"/>
    <w:basedOn w:val="Bekezdsalapbettpusa"/>
    <w:link w:val="Cmsor7"/>
    <w:semiHidden/>
    <w:rsid w:val="005834AF"/>
    <w:rPr>
      <w:rFonts w:asciiTheme="minorHAnsi" w:eastAsiaTheme="minorEastAsia" w:hAnsiTheme="minorHAnsi" w:cstheme="minorBidi"/>
      <w:sz w:val="24"/>
      <w:szCs w:val="24"/>
    </w:rPr>
  </w:style>
  <w:style w:type="character" w:customStyle="1" w:styleId="Cmsor8Char">
    <w:name w:val="Címsor 8 Char"/>
    <w:basedOn w:val="Bekezdsalapbettpusa"/>
    <w:link w:val="Cmsor8"/>
    <w:semiHidden/>
    <w:rsid w:val="005834AF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rsid w:val="005834AF"/>
    <w:rPr>
      <w:rFonts w:asciiTheme="majorHAnsi" w:eastAsiaTheme="majorEastAsia" w:hAnsiTheme="majorHAnsi" w:cstheme="majorBidi"/>
      <w:sz w:val="22"/>
      <w:szCs w:val="22"/>
    </w:rPr>
  </w:style>
  <w:style w:type="paragraph" w:styleId="Cm">
    <w:name w:val="Title"/>
    <w:basedOn w:val="Norml"/>
    <w:next w:val="Norml"/>
    <w:link w:val="CmChar"/>
    <w:qFormat/>
    <w:rsid w:val="005834A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rsid w:val="005834A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lcm">
    <w:name w:val="Subtitle"/>
    <w:basedOn w:val="Norml"/>
    <w:next w:val="Norml"/>
    <w:link w:val="AlcmChar"/>
    <w:qFormat/>
    <w:rsid w:val="005834AF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lcmChar">
    <w:name w:val="Alcím Char"/>
    <w:basedOn w:val="Bekezdsalapbettpusa"/>
    <w:link w:val="Alcm"/>
    <w:rsid w:val="005834AF"/>
    <w:rPr>
      <w:rFonts w:asciiTheme="majorHAnsi" w:eastAsiaTheme="majorEastAsia" w:hAnsiTheme="majorHAnsi" w:cstheme="majorBidi"/>
      <w:sz w:val="24"/>
      <w:szCs w:val="24"/>
    </w:rPr>
  </w:style>
  <w:style w:type="character" w:styleId="Kiemels2">
    <w:name w:val="Strong"/>
    <w:basedOn w:val="Bekezdsalapbettpusa"/>
    <w:qFormat/>
    <w:rsid w:val="005834AF"/>
    <w:rPr>
      <w:b/>
      <w:bCs/>
    </w:rPr>
  </w:style>
  <w:style w:type="character" w:styleId="Kiemels">
    <w:name w:val="Emphasis"/>
    <w:basedOn w:val="Bekezdsalapbettpusa"/>
    <w:qFormat/>
    <w:rsid w:val="005834AF"/>
    <w:rPr>
      <w:i/>
      <w:iCs/>
    </w:rPr>
  </w:style>
  <w:style w:type="paragraph" w:styleId="Nincstrkz">
    <w:name w:val="No Spacing"/>
    <w:basedOn w:val="Norml"/>
    <w:link w:val="NincstrkzChar"/>
    <w:uiPriority w:val="1"/>
    <w:qFormat/>
    <w:rsid w:val="005834AF"/>
    <w:rPr>
      <w:sz w:val="20"/>
      <w:szCs w:val="20"/>
    </w:rPr>
  </w:style>
  <w:style w:type="character" w:customStyle="1" w:styleId="NincstrkzChar">
    <w:name w:val="Nincs térköz Char"/>
    <w:basedOn w:val="Bekezdsalapbettpusa"/>
    <w:link w:val="Nincstrkz"/>
    <w:uiPriority w:val="1"/>
    <w:rsid w:val="005834AF"/>
  </w:style>
  <w:style w:type="paragraph" w:styleId="Listaszerbekezds">
    <w:name w:val="List Paragraph"/>
    <w:basedOn w:val="Norml"/>
    <w:uiPriority w:val="34"/>
    <w:qFormat/>
    <w:rsid w:val="005834AF"/>
    <w:pPr>
      <w:ind w:left="708"/>
    </w:pPr>
    <w:rPr>
      <w:sz w:val="20"/>
      <w:szCs w:val="20"/>
    </w:rPr>
  </w:style>
  <w:style w:type="paragraph" w:styleId="Idzet">
    <w:name w:val="Quote"/>
    <w:basedOn w:val="Norml"/>
    <w:next w:val="Norml"/>
    <w:link w:val="IdzetChar"/>
    <w:uiPriority w:val="29"/>
    <w:qFormat/>
    <w:rsid w:val="005834AF"/>
    <w:rPr>
      <w:i/>
      <w:iCs/>
      <w:color w:val="000000" w:themeColor="text1"/>
      <w:sz w:val="20"/>
      <w:szCs w:val="20"/>
    </w:rPr>
  </w:style>
  <w:style w:type="character" w:customStyle="1" w:styleId="IdzetChar">
    <w:name w:val="Idézet Char"/>
    <w:basedOn w:val="Bekezdsalapbettpusa"/>
    <w:link w:val="Idzet"/>
    <w:uiPriority w:val="29"/>
    <w:rsid w:val="005834AF"/>
    <w:rPr>
      <w:i/>
      <w:iCs/>
      <w:color w:val="000000" w:themeColor="text1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834A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0"/>
      <w:szCs w:val="20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834AF"/>
    <w:rPr>
      <w:b/>
      <w:bCs/>
      <w:i/>
      <w:iCs/>
      <w:color w:val="4F81BD" w:themeColor="accent1"/>
    </w:rPr>
  </w:style>
  <w:style w:type="character" w:styleId="Finomkiemels">
    <w:name w:val="Subtle Emphasis"/>
    <w:uiPriority w:val="19"/>
    <w:qFormat/>
    <w:rsid w:val="005834AF"/>
    <w:rPr>
      <w:i/>
      <w:iCs/>
      <w:color w:val="808080" w:themeColor="text1" w:themeTint="7F"/>
    </w:rPr>
  </w:style>
  <w:style w:type="character" w:styleId="Ershangslyozs">
    <w:name w:val="Intense Emphasis"/>
    <w:basedOn w:val="Bekezdsalapbettpusa"/>
    <w:uiPriority w:val="21"/>
    <w:qFormat/>
    <w:rsid w:val="005834AF"/>
    <w:rPr>
      <w:b/>
      <w:bCs/>
      <w:i/>
      <w:iCs/>
      <w:color w:val="4F81BD" w:themeColor="accent1"/>
    </w:rPr>
  </w:style>
  <w:style w:type="character" w:styleId="Finomhivatkozs">
    <w:name w:val="Subtle Reference"/>
    <w:basedOn w:val="Bekezdsalapbettpusa"/>
    <w:uiPriority w:val="31"/>
    <w:qFormat/>
    <w:rsid w:val="005834AF"/>
    <w:rPr>
      <w:smallCaps/>
      <w:color w:val="C0504D" w:themeColor="accent2"/>
      <w:u w:val="single"/>
    </w:rPr>
  </w:style>
  <w:style w:type="character" w:styleId="Ershivatkozs">
    <w:name w:val="Intense Reference"/>
    <w:basedOn w:val="Bekezdsalapbettpusa"/>
    <w:uiPriority w:val="32"/>
    <w:qFormat/>
    <w:rsid w:val="005834AF"/>
    <w:rPr>
      <w:b/>
      <w:bCs/>
      <w:smallCaps/>
      <w:color w:val="C0504D" w:themeColor="accent2"/>
      <w:spacing w:val="5"/>
      <w:u w:val="single"/>
    </w:rPr>
  </w:style>
  <w:style w:type="character" w:styleId="Knyvcme">
    <w:name w:val="Book Title"/>
    <w:basedOn w:val="Bekezdsalapbettpusa"/>
    <w:uiPriority w:val="33"/>
    <w:qFormat/>
    <w:rsid w:val="005834AF"/>
    <w:rPr>
      <w:b/>
      <w:b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5834AF"/>
    <w:pPr>
      <w:outlineLvl w:val="9"/>
    </w:pPr>
  </w:style>
  <w:style w:type="paragraph" w:styleId="lfej">
    <w:name w:val="header"/>
    <w:basedOn w:val="Norml"/>
    <w:link w:val="lfejChar"/>
    <w:rsid w:val="001B62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1B6274"/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1B6274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6"/>
      <w:szCs w:val="26"/>
    </w:rPr>
  </w:style>
  <w:style w:type="character" w:customStyle="1" w:styleId="SzvegtrzsbehzssalChar">
    <w:name w:val="Szövegtörzs behúzással Char"/>
    <w:basedOn w:val="Bekezdsalapbettpusa"/>
    <w:link w:val="Szvegtrzsbehzssal"/>
    <w:rsid w:val="001B6274"/>
    <w:rPr>
      <w:sz w:val="26"/>
      <w:szCs w:val="26"/>
    </w:rPr>
  </w:style>
  <w:style w:type="paragraph" w:styleId="llb">
    <w:name w:val="footer"/>
    <w:basedOn w:val="Norml"/>
    <w:link w:val="llbChar"/>
    <w:rsid w:val="001B62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1B6274"/>
    <w:rPr>
      <w:sz w:val="24"/>
      <w:szCs w:val="24"/>
    </w:rPr>
  </w:style>
  <w:style w:type="character" w:styleId="Hiperhivatkozs">
    <w:name w:val="Hyperlink"/>
    <w:uiPriority w:val="99"/>
    <w:unhideWhenUsed/>
    <w:rsid w:val="001B6274"/>
    <w:rPr>
      <w:color w:val="0000FF"/>
      <w:u w:val="single"/>
    </w:rPr>
  </w:style>
  <w:style w:type="character" w:styleId="Oldalszm">
    <w:name w:val="page number"/>
    <w:basedOn w:val="Bekezdsalapbettpusa"/>
    <w:rsid w:val="001B6274"/>
  </w:style>
  <w:style w:type="paragraph" w:styleId="Szvegtrzs">
    <w:name w:val="Body Text"/>
    <w:basedOn w:val="Norml"/>
    <w:link w:val="SzvegtrzsChar"/>
    <w:unhideWhenUsed/>
    <w:rsid w:val="00F61702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F6170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ekeltetes.h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1580</Words>
  <Characters>10907</Characters>
  <Application>Microsoft Office Word</Application>
  <DocSecurity>0</DocSecurity>
  <Lines>90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horla</dc:creator>
  <cp:lastModifiedBy>Somogyi Laura</cp:lastModifiedBy>
  <cp:revision>2</cp:revision>
  <cp:lastPrinted>2015-02-06T08:30:00Z</cp:lastPrinted>
  <dcterms:created xsi:type="dcterms:W3CDTF">2016-07-12T06:43:00Z</dcterms:created>
  <dcterms:modified xsi:type="dcterms:W3CDTF">2016-07-12T06:43:00Z</dcterms:modified>
</cp:coreProperties>
</file>