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CC" w:rsidRPr="00406BAD" w:rsidRDefault="002604CC" w:rsidP="00FC1114">
      <w:pPr>
        <w:rPr>
          <w:sz w:val="22"/>
          <w:szCs w:val="22"/>
        </w:rPr>
      </w:pPr>
      <w:bookmarkStart w:id="0" w:name="_GoBack"/>
      <w:bookmarkEnd w:id="0"/>
    </w:p>
    <w:p w:rsidR="00BD42B6" w:rsidRPr="00406BAD" w:rsidRDefault="00BD42B6" w:rsidP="00FC1114">
      <w:pPr>
        <w:rPr>
          <w:sz w:val="22"/>
          <w:szCs w:val="22"/>
        </w:rPr>
      </w:pPr>
    </w:p>
    <w:p w:rsidR="00BD42B6" w:rsidRPr="00406BAD" w:rsidRDefault="00BD42B6" w:rsidP="00FC1114">
      <w:pPr>
        <w:rPr>
          <w:sz w:val="22"/>
          <w:szCs w:val="22"/>
        </w:rPr>
      </w:pPr>
    </w:p>
    <w:p w:rsidR="00BD42B6" w:rsidRPr="00406BAD" w:rsidRDefault="00BD42B6" w:rsidP="00FC1114">
      <w:pPr>
        <w:rPr>
          <w:sz w:val="22"/>
          <w:szCs w:val="22"/>
        </w:rPr>
      </w:pPr>
    </w:p>
    <w:p w:rsidR="00BD42B6" w:rsidRPr="00406BAD" w:rsidRDefault="00BD42B6" w:rsidP="00FC1114">
      <w:pPr>
        <w:rPr>
          <w:sz w:val="22"/>
          <w:szCs w:val="22"/>
        </w:rPr>
      </w:pPr>
    </w:p>
    <w:p w:rsidR="00BD42B6" w:rsidRPr="00406BAD" w:rsidRDefault="00BD42B6" w:rsidP="00FC1114">
      <w:pPr>
        <w:rPr>
          <w:sz w:val="22"/>
          <w:szCs w:val="22"/>
        </w:rPr>
      </w:pPr>
    </w:p>
    <w:p w:rsidR="00BD42B6" w:rsidRPr="00406BAD" w:rsidRDefault="00BD42B6" w:rsidP="00FC1114">
      <w:pPr>
        <w:rPr>
          <w:sz w:val="22"/>
          <w:szCs w:val="22"/>
        </w:rPr>
      </w:pPr>
    </w:p>
    <w:p w:rsidR="002604CC" w:rsidRPr="00406BAD" w:rsidRDefault="002604CC" w:rsidP="00FC1114">
      <w:pPr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FC1114" w:rsidRPr="00406BAD">
        <w:trPr>
          <w:cantSplit/>
        </w:trPr>
        <w:tc>
          <w:tcPr>
            <w:tcW w:w="9639" w:type="dxa"/>
            <w:gridSpan w:val="2"/>
          </w:tcPr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iCs/>
                <w:sz w:val="22"/>
                <w:szCs w:val="22"/>
              </w:rPr>
              <w:t>Kedvezményezett szervezet neve (támogatási szerződés szerint):</w:t>
            </w:r>
          </w:p>
          <w:p w:rsidR="00E56CD2" w:rsidRPr="00406BAD" w:rsidRDefault="00E56CD2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  <w:p w:rsidR="00FC1114" w:rsidRPr="00406BAD" w:rsidRDefault="00FC1114" w:rsidP="00E56CD2">
            <w:pPr>
              <w:jc w:val="center"/>
              <w:rPr>
                <w:rFonts w:ascii="Futura_PFL" w:hAnsi="Futura_PFL"/>
                <w:b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>Tolna Megyei Kereskedelmi és Iparkamara</w:t>
            </w:r>
          </w:p>
          <w:p w:rsidR="00FC1114" w:rsidRPr="00406BAD" w:rsidRDefault="00FC1114" w:rsidP="00E56CD2">
            <w:pPr>
              <w:jc w:val="center"/>
              <w:rPr>
                <w:rFonts w:ascii="Futura_PFL" w:hAnsi="Futura_PFL"/>
                <w:b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>Tolna Megyei Békéltető Testület</w:t>
            </w: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</w:tc>
      </w:tr>
      <w:tr w:rsidR="00FC1114" w:rsidRPr="00406BAD">
        <w:trPr>
          <w:cantSplit/>
        </w:trPr>
        <w:tc>
          <w:tcPr>
            <w:tcW w:w="5670" w:type="dxa"/>
            <w:tcBorders>
              <w:right w:val="single" w:sz="4" w:space="0" w:color="auto"/>
            </w:tcBorders>
          </w:tcPr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iCs/>
                <w:sz w:val="22"/>
                <w:szCs w:val="22"/>
              </w:rPr>
              <w:t>Kedvezményezett szervezet címe:</w:t>
            </w:r>
          </w:p>
          <w:p w:rsidR="00E56CD2" w:rsidRPr="00406BAD" w:rsidRDefault="00E56CD2" w:rsidP="00846043">
            <w:pPr>
              <w:rPr>
                <w:rFonts w:ascii="Futura_PFL" w:hAnsi="Futura_PFL"/>
                <w:b/>
                <w:iCs/>
                <w:sz w:val="22"/>
                <w:szCs w:val="22"/>
              </w:rPr>
            </w:pPr>
          </w:p>
          <w:p w:rsidR="00FC1114" w:rsidRPr="00406BAD" w:rsidRDefault="00FC1114" w:rsidP="00E56CD2">
            <w:pPr>
              <w:jc w:val="center"/>
              <w:rPr>
                <w:rFonts w:ascii="Futura_PFL" w:hAnsi="Futura_PFL"/>
                <w:b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>7100 Szekszárd, Arany J. u. 23-25.</w:t>
            </w: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FC1114" w:rsidRPr="00406BAD" w:rsidRDefault="00FC1114" w:rsidP="00846043">
            <w:pPr>
              <w:pStyle w:val="Szvegtrzs"/>
              <w:rPr>
                <w:rFonts w:ascii="Futura_PFL" w:hAnsi="Futura_PFL"/>
                <w:i w:val="0"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i w:val="0"/>
                <w:iCs/>
                <w:sz w:val="22"/>
                <w:szCs w:val="22"/>
              </w:rPr>
              <w:t>Levelezési címe:</w:t>
            </w:r>
          </w:p>
          <w:p w:rsidR="00E56CD2" w:rsidRPr="00406BAD" w:rsidRDefault="00E56CD2" w:rsidP="00846043">
            <w:pPr>
              <w:rPr>
                <w:rFonts w:ascii="Futura_PFL" w:hAnsi="Futura_PFL"/>
                <w:b/>
                <w:iCs/>
                <w:sz w:val="22"/>
                <w:szCs w:val="22"/>
              </w:rPr>
            </w:pP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>7100 Szekszárd, Arany J. u. 23-25</w:t>
            </w:r>
            <w:r w:rsidRPr="00406BAD">
              <w:rPr>
                <w:rFonts w:ascii="Futura_PFL" w:hAnsi="Futura_PFL"/>
                <w:iCs/>
                <w:sz w:val="22"/>
                <w:szCs w:val="22"/>
              </w:rPr>
              <w:t>.</w:t>
            </w: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</w:tc>
      </w:tr>
      <w:tr w:rsidR="00FC1114" w:rsidRPr="00406BAD">
        <w:tc>
          <w:tcPr>
            <w:tcW w:w="5670" w:type="dxa"/>
          </w:tcPr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iCs/>
                <w:sz w:val="22"/>
                <w:szCs w:val="22"/>
              </w:rPr>
              <w:t>Kedvezményezett szervezet (vagy számlatulajdonos) bankszámlaszáma:</w:t>
            </w: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  <w:p w:rsidR="00FC1114" w:rsidRPr="00406BAD" w:rsidRDefault="00FC1114" w:rsidP="00E56CD2">
            <w:pPr>
              <w:jc w:val="center"/>
              <w:rPr>
                <w:rFonts w:ascii="Futura_PFL" w:hAnsi="Futura_PFL"/>
                <w:b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>10700237-02051404-51100005</w:t>
            </w: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:rsidR="00FC1114" w:rsidRPr="00406BAD" w:rsidRDefault="00FC1114" w:rsidP="00846043">
            <w:pPr>
              <w:pStyle w:val="llb"/>
              <w:tabs>
                <w:tab w:val="clear" w:pos="4536"/>
                <w:tab w:val="clear" w:pos="9072"/>
              </w:tabs>
              <w:rPr>
                <w:rFonts w:ascii="Futura_PFL" w:hAnsi="Futura_PFL"/>
                <w:sz w:val="22"/>
                <w:szCs w:val="22"/>
              </w:rPr>
            </w:pPr>
            <w:r w:rsidRPr="00406BAD">
              <w:rPr>
                <w:rFonts w:ascii="Futura_PFL" w:hAnsi="Futura_PFL"/>
                <w:sz w:val="22"/>
                <w:szCs w:val="22"/>
              </w:rPr>
              <w:t>Kedvezményezett adószáma:</w:t>
            </w:r>
          </w:p>
          <w:p w:rsidR="00FC1114" w:rsidRPr="00406BAD" w:rsidRDefault="00FC1114" w:rsidP="00846043">
            <w:pPr>
              <w:pStyle w:val="llb"/>
              <w:tabs>
                <w:tab w:val="clear" w:pos="4536"/>
                <w:tab w:val="clear" w:pos="9072"/>
              </w:tabs>
              <w:rPr>
                <w:rFonts w:ascii="Futura_PFL" w:hAnsi="Futura_PFL"/>
                <w:sz w:val="22"/>
                <w:szCs w:val="22"/>
              </w:rPr>
            </w:pPr>
          </w:p>
          <w:p w:rsidR="00E56CD2" w:rsidRPr="00406BAD" w:rsidRDefault="00E56CD2" w:rsidP="00846043">
            <w:pPr>
              <w:pStyle w:val="llb"/>
              <w:tabs>
                <w:tab w:val="clear" w:pos="4536"/>
                <w:tab w:val="clear" w:pos="9072"/>
              </w:tabs>
              <w:rPr>
                <w:rFonts w:ascii="Futura_PFL" w:hAnsi="Futura_PFL"/>
                <w:b/>
                <w:sz w:val="22"/>
                <w:szCs w:val="22"/>
              </w:rPr>
            </w:pPr>
          </w:p>
          <w:p w:rsidR="00FC1114" w:rsidRPr="00406BAD" w:rsidRDefault="00FC1114" w:rsidP="00E56CD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Futura_PFL" w:hAnsi="Futura_PFL"/>
                <w:b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sz w:val="22"/>
                <w:szCs w:val="22"/>
              </w:rPr>
              <w:t>18852307-2-17</w:t>
            </w:r>
          </w:p>
        </w:tc>
      </w:tr>
      <w:tr w:rsidR="00FC1114" w:rsidRPr="00406BAD">
        <w:trPr>
          <w:trHeight w:val="452"/>
        </w:trPr>
        <w:tc>
          <w:tcPr>
            <w:tcW w:w="9639" w:type="dxa"/>
            <w:gridSpan w:val="2"/>
            <w:vAlign w:val="bottom"/>
          </w:tcPr>
          <w:p w:rsidR="00FC1114" w:rsidRPr="00406BAD" w:rsidRDefault="00FC1114" w:rsidP="00846043">
            <w:pPr>
              <w:rPr>
                <w:rFonts w:ascii="Futura_PFL" w:hAnsi="Futura_PFL"/>
                <w:iCs/>
                <w:position w:val="-6"/>
                <w:sz w:val="22"/>
                <w:szCs w:val="22"/>
              </w:rPr>
            </w:pPr>
            <w:r w:rsidRPr="00406BAD">
              <w:rPr>
                <w:rFonts w:ascii="Futura_PFL" w:hAnsi="Futura_PFL"/>
                <w:position w:val="-6"/>
                <w:sz w:val="22"/>
                <w:szCs w:val="22"/>
              </w:rPr>
              <w:t xml:space="preserve">Szerződés szám: </w:t>
            </w:r>
          </w:p>
        </w:tc>
      </w:tr>
      <w:tr w:rsidR="00FC1114" w:rsidRPr="00406BAD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639" w:type="dxa"/>
            <w:gridSpan w:val="2"/>
          </w:tcPr>
          <w:p w:rsidR="00FC1114" w:rsidRPr="00406BAD" w:rsidRDefault="00FC1114" w:rsidP="00846043">
            <w:pPr>
              <w:rPr>
                <w:rFonts w:ascii="Futura_PFL" w:hAnsi="Futura_PFL"/>
                <w:b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iCs/>
                <w:sz w:val="22"/>
                <w:szCs w:val="22"/>
              </w:rPr>
              <w:t xml:space="preserve">A megvalósított feladat címe: </w:t>
            </w: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 xml:space="preserve">A területi gazdasági kamarák mellett működő független </w:t>
            </w:r>
            <w:r w:rsidR="000E0EAD">
              <w:rPr>
                <w:rFonts w:ascii="Futura_PFL" w:hAnsi="Futura_PFL"/>
                <w:b/>
                <w:iCs/>
                <w:sz w:val="22"/>
                <w:szCs w:val="22"/>
              </w:rPr>
              <w:t>békéltető testületek 2015</w:t>
            </w:r>
            <w:r w:rsidRPr="00406BAD">
              <w:rPr>
                <w:rFonts w:ascii="Futura_PFL" w:hAnsi="Futura_PFL"/>
                <w:b/>
                <w:iCs/>
                <w:sz w:val="22"/>
                <w:szCs w:val="22"/>
              </w:rPr>
              <w:t>. évi működtetési kiadásokhoz és költségekhez pénzügyi támogatás nyújtása</w:t>
            </w:r>
          </w:p>
          <w:p w:rsidR="00FC1114" w:rsidRPr="00406BAD" w:rsidRDefault="00FC1114" w:rsidP="00846043">
            <w:pPr>
              <w:rPr>
                <w:rFonts w:ascii="Futura_PFL" w:hAnsi="Futura_PFL"/>
                <w:iCs/>
                <w:sz w:val="22"/>
                <w:szCs w:val="22"/>
              </w:rPr>
            </w:pPr>
          </w:p>
        </w:tc>
      </w:tr>
    </w:tbl>
    <w:p w:rsidR="00FC1114" w:rsidRPr="00406BAD" w:rsidRDefault="00FC1114" w:rsidP="00FC1114">
      <w:pPr>
        <w:jc w:val="center"/>
        <w:rPr>
          <w:sz w:val="22"/>
          <w:szCs w:val="22"/>
        </w:rPr>
      </w:pPr>
    </w:p>
    <w:p w:rsidR="00BD42B6" w:rsidRPr="00406BAD" w:rsidRDefault="00BD42B6" w:rsidP="00FC1114">
      <w:pPr>
        <w:jc w:val="center"/>
        <w:rPr>
          <w:sz w:val="22"/>
          <w:szCs w:val="22"/>
        </w:rPr>
      </w:pPr>
    </w:p>
    <w:p w:rsidR="00BD42B6" w:rsidRPr="00406BAD" w:rsidRDefault="00BD42B6" w:rsidP="00FC1114">
      <w:pPr>
        <w:jc w:val="center"/>
        <w:rPr>
          <w:sz w:val="22"/>
          <w:szCs w:val="22"/>
        </w:rPr>
      </w:pPr>
    </w:p>
    <w:p w:rsidR="00FC1114" w:rsidRPr="00406BAD" w:rsidRDefault="00FC1114" w:rsidP="00FC1114">
      <w:pPr>
        <w:jc w:val="center"/>
        <w:rPr>
          <w:b/>
          <w:sz w:val="22"/>
          <w:szCs w:val="22"/>
        </w:rPr>
      </w:pPr>
      <w:r w:rsidRPr="00406BAD">
        <w:rPr>
          <w:b/>
          <w:sz w:val="22"/>
          <w:szCs w:val="22"/>
        </w:rPr>
        <w:t>I. rész</w:t>
      </w:r>
    </w:p>
    <w:p w:rsidR="00FC1114" w:rsidRPr="00406BAD" w:rsidRDefault="00FC1114" w:rsidP="00FC1114">
      <w:pPr>
        <w:rPr>
          <w:sz w:val="22"/>
          <w:szCs w:val="22"/>
        </w:rPr>
      </w:pPr>
    </w:p>
    <w:p w:rsidR="00FC1114" w:rsidRPr="00406BAD" w:rsidRDefault="00FC1114" w:rsidP="00FC1114">
      <w:pPr>
        <w:jc w:val="center"/>
        <w:rPr>
          <w:rFonts w:ascii="Futura_PFL" w:hAnsi="Futura_PFL"/>
          <w:b/>
          <w:bCs/>
          <w:sz w:val="22"/>
          <w:szCs w:val="22"/>
        </w:rPr>
      </w:pPr>
      <w:r w:rsidRPr="00406BAD">
        <w:rPr>
          <w:rFonts w:ascii="Futura_PFL" w:hAnsi="Futura_PFL"/>
          <w:b/>
          <w:bCs/>
          <w:sz w:val="22"/>
          <w:szCs w:val="22"/>
        </w:rPr>
        <w:t>Szakmai beszámoló</w:t>
      </w:r>
    </w:p>
    <w:p w:rsidR="00FC1114" w:rsidRPr="00406BAD" w:rsidRDefault="00FC1114" w:rsidP="00FC1114">
      <w:pPr>
        <w:jc w:val="center"/>
        <w:rPr>
          <w:rFonts w:ascii="Futura_PFL" w:hAnsi="Futura_PFL"/>
          <w:b/>
          <w:bCs/>
          <w:sz w:val="22"/>
          <w:szCs w:val="22"/>
        </w:rPr>
      </w:pPr>
      <w:r w:rsidRPr="00406BAD">
        <w:rPr>
          <w:rFonts w:ascii="Futura_PFL" w:hAnsi="Futura_PFL"/>
          <w:b/>
          <w:bCs/>
          <w:sz w:val="22"/>
          <w:szCs w:val="22"/>
        </w:rPr>
        <w:t xml:space="preserve"> a Toln</w:t>
      </w:r>
      <w:r w:rsidR="000E0EAD">
        <w:rPr>
          <w:rFonts w:ascii="Futura_PFL" w:hAnsi="Futura_PFL"/>
          <w:b/>
          <w:bCs/>
          <w:sz w:val="22"/>
          <w:szCs w:val="22"/>
        </w:rPr>
        <w:t>a Megyei Békéltető Testület 2015</w:t>
      </w:r>
      <w:r w:rsidR="00342655" w:rsidRPr="00406BAD">
        <w:rPr>
          <w:rFonts w:ascii="Futura_PFL" w:hAnsi="Futura_PFL"/>
          <w:b/>
          <w:bCs/>
          <w:sz w:val="22"/>
          <w:szCs w:val="22"/>
        </w:rPr>
        <w:t>.</w:t>
      </w:r>
      <w:r w:rsidRPr="00406BAD">
        <w:rPr>
          <w:rFonts w:ascii="Futura_PFL" w:hAnsi="Futura_PFL"/>
          <w:b/>
          <w:bCs/>
          <w:sz w:val="22"/>
          <w:szCs w:val="22"/>
        </w:rPr>
        <w:t xml:space="preserve"> év </w:t>
      </w:r>
      <w:r w:rsidR="00342655" w:rsidRPr="00406BAD">
        <w:rPr>
          <w:rFonts w:ascii="Futura_PFL" w:hAnsi="Futura_PFL"/>
          <w:b/>
          <w:bCs/>
          <w:sz w:val="22"/>
          <w:szCs w:val="22"/>
        </w:rPr>
        <w:t>végzett tevékenységéről</w:t>
      </w:r>
    </w:p>
    <w:p w:rsidR="00BB3D65" w:rsidRPr="00406BAD" w:rsidRDefault="00BB3D65" w:rsidP="00FC1114">
      <w:pPr>
        <w:jc w:val="center"/>
        <w:rPr>
          <w:rFonts w:ascii="Futura_PFL" w:hAnsi="Futura_PFL"/>
          <w:b/>
          <w:bCs/>
          <w:sz w:val="22"/>
          <w:szCs w:val="22"/>
        </w:rPr>
      </w:pPr>
    </w:p>
    <w:p w:rsidR="00BB3D65" w:rsidRPr="00406BAD" w:rsidRDefault="00BB3D65" w:rsidP="00FC1114">
      <w:pPr>
        <w:jc w:val="center"/>
        <w:rPr>
          <w:rFonts w:ascii="Futura_PFL" w:hAnsi="Futura_PFL"/>
          <w:b/>
          <w:bCs/>
          <w:sz w:val="22"/>
          <w:szCs w:val="22"/>
        </w:rPr>
      </w:pPr>
    </w:p>
    <w:p w:rsidR="00BD42B6" w:rsidRPr="00406BAD" w:rsidRDefault="00BD42B6" w:rsidP="00FC1114">
      <w:pPr>
        <w:jc w:val="center"/>
        <w:rPr>
          <w:rFonts w:ascii="Futura_PFL" w:hAnsi="Futura_PFL"/>
          <w:b/>
          <w:bCs/>
          <w:sz w:val="22"/>
          <w:szCs w:val="22"/>
        </w:rPr>
      </w:pPr>
    </w:p>
    <w:p w:rsidR="00BD42B6" w:rsidRPr="00406BAD" w:rsidRDefault="00BD42B6" w:rsidP="00FC1114">
      <w:pPr>
        <w:jc w:val="center"/>
        <w:rPr>
          <w:rFonts w:ascii="Futura_PFL" w:hAnsi="Futura_PFL"/>
          <w:b/>
          <w:bCs/>
          <w:sz w:val="22"/>
          <w:szCs w:val="22"/>
        </w:rPr>
      </w:pPr>
    </w:p>
    <w:p w:rsidR="00BD42B6" w:rsidRPr="00406BAD" w:rsidRDefault="00BD42B6" w:rsidP="00FC1114">
      <w:pPr>
        <w:jc w:val="center"/>
        <w:rPr>
          <w:rFonts w:ascii="Futura_PFL" w:hAnsi="Futura_PFL"/>
          <w:b/>
          <w:bCs/>
          <w:sz w:val="22"/>
          <w:szCs w:val="22"/>
        </w:rPr>
      </w:pPr>
    </w:p>
    <w:p w:rsidR="00FC1114" w:rsidRPr="00406BAD" w:rsidRDefault="00FC1114" w:rsidP="00FC1114">
      <w:pPr>
        <w:rPr>
          <w:rFonts w:ascii="Futura_PFL" w:hAnsi="Futura_PFL"/>
          <w:b/>
          <w:sz w:val="22"/>
          <w:szCs w:val="22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856"/>
      </w:tblGrid>
      <w:tr w:rsidR="00FC1114" w:rsidRPr="00406BAD">
        <w:trPr>
          <w:cantSplit/>
        </w:trPr>
        <w:tc>
          <w:tcPr>
            <w:tcW w:w="4784" w:type="dxa"/>
          </w:tcPr>
          <w:p w:rsidR="00FC1114" w:rsidRPr="00406BAD" w:rsidRDefault="00FC1114" w:rsidP="00B34381">
            <w:pPr>
              <w:rPr>
                <w:rFonts w:ascii="Futura_PFL" w:hAnsi="Futura_PFL"/>
                <w:bCs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Cs/>
                <w:iCs/>
                <w:sz w:val="22"/>
                <w:szCs w:val="22"/>
              </w:rPr>
              <w:t>A szakmai beszámolót készítő személy neve:</w:t>
            </w:r>
          </w:p>
          <w:p w:rsidR="00B34381" w:rsidRPr="00406BAD" w:rsidRDefault="00B34381" w:rsidP="00B34381">
            <w:pPr>
              <w:rPr>
                <w:rFonts w:ascii="Futura_PFL" w:hAnsi="Futura_PFL"/>
                <w:bCs/>
                <w:iCs/>
                <w:sz w:val="22"/>
                <w:szCs w:val="22"/>
              </w:rPr>
            </w:pPr>
          </w:p>
          <w:p w:rsidR="00FC1114" w:rsidRPr="00406BAD" w:rsidRDefault="00FC1114" w:rsidP="00B34381">
            <w:pPr>
              <w:jc w:val="center"/>
              <w:rPr>
                <w:rFonts w:ascii="Futura_PFL" w:hAnsi="Futura_PFL"/>
                <w:b/>
                <w:bCs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bCs/>
                <w:iCs/>
                <w:sz w:val="22"/>
                <w:szCs w:val="22"/>
              </w:rPr>
              <w:t>Mátyás Tibor</w:t>
            </w:r>
          </w:p>
          <w:p w:rsidR="00FC1114" w:rsidRPr="00406BAD" w:rsidRDefault="00FC1114" w:rsidP="00846043">
            <w:pPr>
              <w:rPr>
                <w:rFonts w:ascii="Futura_PFL" w:hAnsi="Futura_PFL"/>
                <w:bCs/>
                <w:iCs/>
                <w:sz w:val="22"/>
                <w:szCs w:val="22"/>
              </w:rPr>
            </w:pPr>
          </w:p>
        </w:tc>
        <w:tc>
          <w:tcPr>
            <w:tcW w:w="4856" w:type="dxa"/>
          </w:tcPr>
          <w:p w:rsidR="00FC1114" w:rsidRPr="00406BAD" w:rsidRDefault="00FC1114" w:rsidP="00846043">
            <w:pPr>
              <w:rPr>
                <w:rFonts w:ascii="Futura_PFL" w:hAnsi="Futura_PFL"/>
                <w:bCs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Cs/>
                <w:iCs/>
                <w:sz w:val="22"/>
                <w:szCs w:val="22"/>
              </w:rPr>
              <w:t>A beszámolót készítő személy telefonszáma:</w:t>
            </w:r>
          </w:p>
          <w:p w:rsidR="00FC1114" w:rsidRPr="00406BAD" w:rsidRDefault="00FC1114" w:rsidP="00846043">
            <w:pPr>
              <w:rPr>
                <w:rFonts w:ascii="Futura_PFL" w:hAnsi="Futura_PFL"/>
                <w:bCs/>
                <w:iCs/>
                <w:sz w:val="22"/>
                <w:szCs w:val="22"/>
              </w:rPr>
            </w:pPr>
          </w:p>
          <w:p w:rsidR="00FC1114" w:rsidRPr="00406BAD" w:rsidRDefault="00FC1114" w:rsidP="00E56CD2">
            <w:pPr>
              <w:jc w:val="center"/>
              <w:rPr>
                <w:rFonts w:ascii="Futura_PFL" w:hAnsi="Futura_PFL"/>
                <w:b/>
                <w:bCs/>
                <w:iCs/>
                <w:sz w:val="22"/>
                <w:szCs w:val="22"/>
              </w:rPr>
            </w:pPr>
            <w:r w:rsidRPr="00406BAD">
              <w:rPr>
                <w:rFonts w:ascii="Futura_PFL" w:hAnsi="Futura_PFL"/>
                <w:b/>
                <w:bCs/>
                <w:iCs/>
                <w:sz w:val="22"/>
                <w:szCs w:val="22"/>
              </w:rPr>
              <w:t>06 30 / 637 00 47</w:t>
            </w:r>
          </w:p>
          <w:p w:rsidR="00FC1114" w:rsidRPr="00406BAD" w:rsidRDefault="00FC1114" w:rsidP="00846043">
            <w:pPr>
              <w:rPr>
                <w:rFonts w:ascii="Futura_PFL" w:hAnsi="Futura_PFL"/>
                <w:bCs/>
                <w:iCs/>
                <w:sz w:val="22"/>
                <w:szCs w:val="22"/>
              </w:rPr>
            </w:pPr>
          </w:p>
        </w:tc>
      </w:tr>
    </w:tbl>
    <w:p w:rsidR="00BD42B6" w:rsidRPr="00406BAD" w:rsidRDefault="00BD42B6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rPr>
          <w:rFonts w:ascii="Futura_PFL" w:hAnsi="Futura_PFL"/>
          <w:b/>
          <w:bCs/>
          <w:iCs/>
          <w:sz w:val="22"/>
          <w:szCs w:val="22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42655" w:rsidRPr="00406BAD" w:rsidTr="00406BAD">
        <w:trPr>
          <w:cantSplit/>
          <w:trHeight w:val="672"/>
        </w:trPr>
        <w:tc>
          <w:tcPr>
            <w:tcW w:w="9640" w:type="dxa"/>
            <w:tcBorders>
              <w:bottom w:val="single" w:sz="4" w:space="0" w:color="auto"/>
            </w:tcBorders>
            <w:shd w:val="clear" w:color="auto" w:fill="C0C0C0"/>
          </w:tcPr>
          <w:p w:rsidR="00342655" w:rsidRPr="00406BAD" w:rsidRDefault="008C3CA3" w:rsidP="000E5762">
            <w:pPr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1. Ismertesse 2014</w:t>
            </w:r>
            <w:r w:rsidR="00342655" w:rsidRPr="00406BAD">
              <w:rPr>
                <w:b/>
                <w:bCs/>
                <w:iCs/>
                <w:sz w:val="22"/>
                <w:szCs w:val="22"/>
              </w:rPr>
              <w:t>. évhez/előző finanszírozási időszakhoz képest a testületben történt lényegesebb változásokat! (A testület létszáma, összetétele, működési feltételei, stb.)</w:t>
            </w:r>
          </w:p>
        </w:tc>
      </w:tr>
      <w:tr w:rsidR="00342655" w:rsidRPr="00406BAD" w:rsidTr="00406BAD">
        <w:trPr>
          <w:trHeight w:val="862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AD" w:rsidRDefault="00406BAD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C82959" w:rsidRPr="00406BAD" w:rsidRDefault="00B85265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A testület létszáma 2012. január 5-i választás után nőtt 2 fővel, így 14 tagú lett. 2014. december hónapban 2 tagunk (Dr. Szigeth Ildikó és Dr. Varga Tibor autóbaleset áldozata lett. Testületünk létszáma így ismét lecsökkent 12 főre. A 12 főből 2015. évben 2 fő jogász szakképzettséggel rendelkező személy vett részt az eljárásokban. 2016. január 5-i választás után a testület létszáma 12 fő lett, ebből 4 fő jogász szakképzettséggel rendelkezik. </w:t>
            </w:r>
          </w:p>
          <w:p w:rsidR="00C82959" w:rsidRPr="00406BAD" w:rsidRDefault="00C82959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C82959" w:rsidRDefault="00E84278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 békéltető testület 2016. január 5-i alakuló ülésén – a testületi tagok közül – Dr. Gáll Ferenc tagot választotta meg, 2016. január 1. napjától a testület elnökének. A békéltető Testület elnöke -  a testületi tagok közül – Mátyás Tibor tagot elnökhelyettesnek jelölte ki.</w:t>
            </w:r>
          </w:p>
          <w:p w:rsidR="00E84278" w:rsidRPr="00406BAD" w:rsidRDefault="00E84278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Egyéb változás nem történt sem személyi, sem egyéb vonatkozásban. </w:t>
            </w:r>
          </w:p>
          <w:p w:rsidR="00C82959" w:rsidRPr="00406BAD" w:rsidRDefault="00C82959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406BAD" w:rsidRPr="00406BAD" w:rsidRDefault="00406BAD" w:rsidP="00E84278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342655" w:rsidRPr="00406BAD" w:rsidTr="00406BAD">
        <w:trPr>
          <w:cantSplit/>
          <w:trHeight w:val="83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42655" w:rsidRPr="00406BAD" w:rsidRDefault="00342655" w:rsidP="00E84278">
            <w:pPr>
              <w:tabs>
                <w:tab w:val="left" w:pos="5490"/>
              </w:tabs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2. Szövegesen értékelje a statisztikai adatokat! A 2.1.-2.3 kérdések megválaszolása során mutassa be az adatok mögötti eseményeket, tapasztalatokat, változások okait.</w:t>
            </w:r>
            <w:r w:rsidR="00E84278">
              <w:rPr>
                <w:b/>
                <w:bCs/>
                <w:iCs/>
                <w:sz w:val="22"/>
                <w:szCs w:val="22"/>
              </w:rPr>
              <w:t xml:space="preserve"> Az alábbi táblázat egyértelműen mutatja be az ügyek kimeneteleit</w:t>
            </w:r>
          </w:p>
        </w:tc>
      </w:tr>
      <w:tr w:rsidR="00342655" w:rsidRPr="00406BAD" w:rsidTr="00BE3FB2">
        <w:trPr>
          <w:trHeight w:val="8914"/>
        </w:trPr>
        <w:tc>
          <w:tcPr>
            <w:tcW w:w="9640" w:type="dxa"/>
            <w:tcBorders>
              <w:top w:val="single" w:sz="4" w:space="0" w:color="auto"/>
              <w:bottom w:val="single" w:sz="4" w:space="0" w:color="auto"/>
            </w:tcBorders>
          </w:tcPr>
          <w:p w:rsidR="00406BAD" w:rsidRDefault="00406BAD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tbl>
            <w:tblPr>
              <w:tblStyle w:val="Rcsostblzat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57"/>
              <w:gridCol w:w="577"/>
              <w:gridCol w:w="435"/>
              <w:gridCol w:w="435"/>
              <w:gridCol w:w="435"/>
              <w:gridCol w:w="435"/>
              <w:gridCol w:w="435"/>
              <w:gridCol w:w="435"/>
              <w:gridCol w:w="435"/>
              <w:gridCol w:w="435"/>
              <w:gridCol w:w="435"/>
              <w:gridCol w:w="594"/>
              <w:gridCol w:w="682"/>
              <w:gridCol w:w="851"/>
              <w:gridCol w:w="708"/>
            </w:tblGrid>
            <w:tr w:rsidR="00147371" w:rsidRPr="00147371" w:rsidTr="000B3BE2">
              <w:trPr>
                <w:jc w:val="center"/>
              </w:trPr>
              <w:tc>
                <w:tcPr>
                  <w:tcW w:w="1795" w:type="dxa"/>
                  <w:gridSpan w:val="2"/>
                  <w:vMerge w:val="restart"/>
                  <w:vAlign w:val="center"/>
                </w:tcPr>
                <w:p w:rsidR="00147371" w:rsidRPr="000B3BE2" w:rsidRDefault="00147371" w:rsidP="000B3BE2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Befejezett ügyek száma</w:t>
                  </w:r>
                </w:p>
              </w:tc>
              <w:tc>
                <w:tcPr>
                  <w:tcW w:w="5191" w:type="dxa"/>
                  <w:gridSpan w:val="11"/>
                </w:tcPr>
                <w:p w:rsidR="00147371" w:rsidRPr="000B3BE2" w:rsidRDefault="000B3BE2" w:rsidP="00147371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Ü</w:t>
                  </w:r>
                  <w:r w:rsidR="00147371"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gy kimenetele</w:t>
                  </w:r>
                </w:p>
              </w:tc>
              <w:tc>
                <w:tcPr>
                  <w:tcW w:w="1559" w:type="dxa"/>
                  <w:gridSpan w:val="2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Együttműködött</w:t>
                  </w:r>
                </w:p>
              </w:tc>
            </w:tr>
            <w:tr w:rsidR="00147371" w:rsidRPr="00147371" w:rsidTr="000B3BE2">
              <w:trPr>
                <w:jc w:val="center"/>
              </w:trPr>
              <w:tc>
                <w:tcPr>
                  <w:tcW w:w="1795" w:type="dxa"/>
                  <w:gridSpan w:val="2"/>
                  <w:vMerge/>
                </w:tcPr>
                <w:p w:rsidR="00147371" w:rsidRPr="00147371" w:rsidRDefault="00147371" w:rsidP="00C82959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5" w:type="dxa"/>
                  <w:vMerge w:val="restart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egyezség</w:t>
                  </w:r>
                </w:p>
              </w:tc>
              <w:tc>
                <w:tcPr>
                  <w:tcW w:w="435" w:type="dxa"/>
                  <w:vMerge w:val="restart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kötelezés</w:t>
                  </w:r>
                </w:p>
              </w:tc>
              <w:tc>
                <w:tcPr>
                  <w:tcW w:w="435" w:type="dxa"/>
                  <w:vMerge w:val="restart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ajánlás</w:t>
                  </w:r>
                </w:p>
              </w:tc>
              <w:tc>
                <w:tcPr>
                  <w:tcW w:w="435" w:type="dxa"/>
                  <w:vMerge w:val="restart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elutasítás</w:t>
                  </w:r>
                </w:p>
              </w:tc>
              <w:tc>
                <w:tcPr>
                  <w:tcW w:w="2175" w:type="dxa"/>
                  <w:gridSpan w:val="5"/>
                </w:tcPr>
                <w:p w:rsidR="00147371" w:rsidRPr="000B3BE2" w:rsidRDefault="00147371" w:rsidP="00147371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megszüntetés</w:t>
                  </w:r>
                </w:p>
              </w:tc>
              <w:tc>
                <w:tcPr>
                  <w:tcW w:w="1276" w:type="dxa"/>
                  <w:gridSpan w:val="2"/>
                </w:tcPr>
                <w:p w:rsidR="00147371" w:rsidRPr="000B3BE2" w:rsidRDefault="00147371" w:rsidP="00147371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áttétel</w:t>
                  </w:r>
                </w:p>
              </w:tc>
              <w:tc>
                <w:tcPr>
                  <w:tcW w:w="851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igen</w:t>
                  </w:r>
                </w:p>
              </w:tc>
              <w:tc>
                <w:tcPr>
                  <w:tcW w:w="708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nem</w:t>
                  </w:r>
                </w:p>
              </w:tc>
            </w:tr>
            <w:tr w:rsidR="00147371" w:rsidRPr="00147371" w:rsidTr="000B3BE2">
              <w:trPr>
                <w:cantSplit/>
                <w:trHeight w:val="1110"/>
                <w:jc w:val="center"/>
              </w:trPr>
              <w:tc>
                <w:tcPr>
                  <w:tcW w:w="1795" w:type="dxa"/>
                  <w:gridSpan w:val="2"/>
                  <w:vMerge/>
                </w:tcPr>
                <w:p w:rsidR="00147371" w:rsidRPr="00147371" w:rsidRDefault="00147371" w:rsidP="00C82959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5" w:type="dxa"/>
                  <w:vMerge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5" w:type="dxa"/>
                  <w:vMerge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5" w:type="dxa"/>
                  <w:vMerge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5" w:type="dxa"/>
                  <w:vMerge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5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a.)</w:t>
                  </w:r>
                </w:p>
              </w:tc>
              <w:tc>
                <w:tcPr>
                  <w:tcW w:w="435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b.)</w:t>
                  </w:r>
                </w:p>
              </w:tc>
              <w:tc>
                <w:tcPr>
                  <w:tcW w:w="435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c.)</w:t>
                  </w:r>
                </w:p>
              </w:tc>
              <w:tc>
                <w:tcPr>
                  <w:tcW w:w="435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d.)</w:t>
                  </w:r>
                </w:p>
              </w:tc>
              <w:tc>
                <w:tcPr>
                  <w:tcW w:w="435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hiánypótlás</w:t>
                  </w:r>
                </w:p>
              </w:tc>
              <w:tc>
                <w:tcPr>
                  <w:tcW w:w="594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Hatáskör hiánya</w:t>
                  </w:r>
                </w:p>
              </w:tc>
              <w:tc>
                <w:tcPr>
                  <w:tcW w:w="682" w:type="dxa"/>
                  <w:textDirection w:val="btLr"/>
                </w:tcPr>
                <w:p w:rsidR="00147371" w:rsidRPr="000B3BE2" w:rsidRDefault="00147371" w:rsidP="00147371">
                  <w:pPr>
                    <w:ind w:left="113" w:right="113"/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illetékesség</w:t>
                  </w:r>
                </w:p>
              </w:tc>
              <w:tc>
                <w:tcPr>
                  <w:tcW w:w="851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147371" w:rsidRPr="00147371" w:rsidTr="000B3BE2">
              <w:trPr>
                <w:jc w:val="center"/>
              </w:trPr>
              <w:tc>
                <w:tcPr>
                  <w:tcW w:w="1218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mindösszesen</w:t>
                  </w:r>
                </w:p>
              </w:tc>
              <w:tc>
                <w:tcPr>
                  <w:tcW w:w="577" w:type="dxa"/>
                </w:tcPr>
                <w:p w:rsidR="00147371" w:rsidRPr="000B3BE2" w:rsidRDefault="00147371" w:rsidP="00147371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94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82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91</w:t>
                  </w:r>
                </w:p>
              </w:tc>
              <w:tc>
                <w:tcPr>
                  <w:tcW w:w="708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19</w:t>
                  </w:r>
                </w:p>
              </w:tc>
            </w:tr>
            <w:tr w:rsidR="00147371" w:rsidRPr="00147371" w:rsidTr="000B3BE2">
              <w:trPr>
                <w:jc w:val="center"/>
              </w:trPr>
              <w:tc>
                <w:tcPr>
                  <w:tcW w:w="1218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termék</w:t>
                  </w:r>
                </w:p>
              </w:tc>
              <w:tc>
                <w:tcPr>
                  <w:tcW w:w="577" w:type="dxa"/>
                </w:tcPr>
                <w:p w:rsidR="00147371" w:rsidRPr="000B3BE2" w:rsidRDefault="00147371" w:rsidP="00147371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78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94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2" w:type="dxa"/>
                </w:tcPr>
                <w:p w:rsidR="00147371" w:rsidRPr="00147371" w:rsidRDefault="00AA61B8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708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14</w:t>
                  </w:r>
                </w:p>
              </w:tc>
            </w:tr>
            <w:tr w:rsidR="00147371" w:rsidRPr="00147371" w:rsidTr="000B3BE2">
              <w:trPr>
                <w:jc w:val="center"/>
              </w:trPr>
              <w:tc>
                <w:tcPr>
                  <w:tcW w:w="1218" w:type="dxa"/>
                </w:tcPr>
                <w:p w:rsidR="00147371" w:rsidRPr="000B3BE2" w:rsidRDefault="00147371" w:rsidP="00C82959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szolgáltatás</w:t>
                  </w:r>
                </w:p>
              </w:tc>
              <w:tc>
                <w:tcPr>
                  <w:tcW w:w="577" w:type="dxa"/>
                </w:tcPr>
                <w:p w:rsidR="00147371" w:rsidRPr="000B3BE2" w:rsidRDefault="00147371" w:rsidP="00147371">
                  <w:pPr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B3BE2">
                    <w:rPr>
                      <w:b/>
                      <w:bCs/>
                      <w:iCs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AA61B8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35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94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82" w:type="dxa"/>
                </w:tcPr>
                <w:p w:rsidR="00147371" w:rsidRPr="00147371" w:rsidRDefault="00AA61B8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708" w:type="dxa"/>
                </w:tcPr>
                <w:p w:rsidR="00147371" w:rsidRPr="00147371" w:rsidRDefault="00147371" w:rsidP="00147371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</w:tr>
          </w:tbl>
          <w:p w:rsidR="0025264C" w:rsidRPr="00147371" w:rsidRDefault="0025264C" w:rsidP="00C82959">
            <w:pPr>
              <w:jc w:val="both"/>
              <w:rPr>
                <w:bCs/>
                <w:iCs/>
                <w:sz w:val="18"/>
                <w:szCs w:val="18"/>
              </w:rPr>
            </w:pPr>
          </w:p>
          <w:p w:rsidR="0025264C" w:rsidRDefault="000B3BE2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2015-ben 110 lezárt ügyből 42. érdemi határozattal (egyezség, ajánlás, elutasítás) zárult, ami az összes lezárt ügy 38 %-nak felel meg.</w:t>
            </w:r>
          </w:p>
          <w:p w:rsidR="0025264C" w:rsidRDefault="000B3BE2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Áttételre 5 ügyben került sor. Eljárás megszüntetésére – különböző okok miatt 63 ügyben (57%) került sor. </w:t>
            </w:r>
          </w:p>
          <w:p w:rsidR="000B3BE2" w:rsidRDefault="000B3BE2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2014-ben a lezárt 108 ügyből 41 (38 %) érdemi határozattal zárult. Áttételre 2 esetben és megszüntetésre 65 ügyben (60 %) került sor. </w:t>
            </w:r>
          </w:p>
          <w:p w:rsidR="0025264C" w:rsidRDefault="0025264C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25264C" w:rsidRDefault="007F0DAA" w:rsidP="00C82959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A számokból látható, hogy - az előző évhez viszonyítva – számottevő érdemi eltérés a 2015. évi befejezett ügyek vonatkozásában nem történt. </w:t>
            </w:r>
          </w:p>
          <w:p w:rsidR="007F0DAA" w:rsidRDefault="007F0DAA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7F0DAA" w:rsidRDefault="007F0DAA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406BAD" w:rsidRPr="00406BAD" w:rsidRDefault="00406BAD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406BAD" w:rsidRPr="00406BAD" w:rsidRDefault="00406BAD" w:rsidP="00406BAD">
            <w:pPr>
              <w:numPr>
                <w:ilvl w:val="1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25" w:color="auto" w:fill="auto"/>
              <w:ind w:left="0" w:firstLine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Az ügyek tárgya szerinti bontásának megfelelően (M2 számú melléklet.) ismertesse a főbb panasz okokat, milyen panaszok mögött húzódnak meg valószínűsíthetően nagyobb fogyasztói érdeksérelemre utaló jelenségek, e tekintetben volt e változás az előző finanszírozási időszakhoz képest, előfordultak-e, s ha igen milyen korábban nem tapasztalt problémák, panaszok. A problémák leküzdése érdekében milyen intézkedéseket javasolnak (jogszabály módosítás, egyeztetés az érintett szakmai érdekképviseleti szervezetekkel, fogyasztók tájékoztatása, fokozottabb hatósági fellépés, stb)</w:t>
            </w:r>
          </w:p>
          <w:p w:rsidR="00406BAD" w:rsidRPr="00406BAD" w:rsidRDefault="00406BAD" w:rsidP="00406BAD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406BAD" w:rsidRPr="00406BAD" w:rsidRDefault="00406BAD" w:rsidP="00406BAD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>Az ügyek tárgy szerinti megoszlását az alábbi táblázatok tartalmazzák:</w:t>
            </w:r>
          </w:p>
          <w:p w:rsidR="00406BAD" w:rsidRPr="00406BAD" w:rsidRDefault="00406BAD" w:rsidP="00406BAD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406BAD" w:rsidRPr="00406BAD" w:rsidRDefault="00406BAD" w:rsidP="00406BAD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Szolgáltatások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32"/>
              <w:gridCol w:w="3067"/>
              <w:gridCol w:w="2991"/>
            </w:tblGrid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2014</w:t>
                  </w:r>
                  <w:r w:rsidR="00406BAD" w:rsidRPr="00406BAD">
                    <w:rPr>
                      <w:b/>
                      <w:bCs/>
                      <w:iCs/>
                      <w:sz w:val="22"/>
                      <w:szCs w:val="22"/>
                    </w:rPr>
                    <w:t>. év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2015</w:t>
                  </w:r>
                  <w:r w:rsidR="00406BAD" w:rsidRPr="00406BAD">
                    <w:rPr>
                      <w:b/>
                      <w:bCs/>
                      <w:iCs/>
                      <w:sz w:val="22"/>
                      <w:szCs w:val="22"/>
                    </w:rPr>
                    <w:t>. év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Építőipar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4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Turizmus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4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Közlekedés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Posta és távközlés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Közüzemi szolgáltatások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11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Javítás, karbantartás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 xml:space="preserve">Egyéb szolgáltatás 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lastRenderedPageBreak/>
                    <w:t>Személyi szolgáltatások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Ingatlan ügyek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Oktatás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Háztartási kisegítő szolgáltatás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406BAD" w:rsidRPr="00406BAD" w:rsidTr="00B97A9F">
              <w:tc>
                <w:tcPr>
                  <w:tcW w:w="343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Egyéb szolgáltatás</w:t>
                  </w:r>
                </w:p>
              </w:tc>
              <w:tc>
                <w:tcPr>
                  <w:tcW w:w="3067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91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</w:tr>
            <w:tr w:rsidR="00406BAD" w:rsidRPr="007F0DAA" w:rsidTr="00B97A9F">
              <w:tc>
                <w:tcPr>
                  <w:tcW w:w="3432" w:type="dxa"/>
                </w:tcPr>
                <w:p w:rsidR="00406BAD" w:rsidRPr="007F0DAA" w:rsidRDefault="007F0DAA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Áttétel</w:t>
                  </w:r>
                </w:p>
              </w:tc>
              <w:tc>
                <w:tcPr>
                  <w:tcW w:w="3067" w:type="dxa"/>
                </w:tcPr>
                <w:p w:rsidR="00406BAD" w:rsidRPr="007F0DAA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91" w:type="dxa"/>
                </w:tcPr>
                <w:p w:rsidR="00406BAD" w:rsidRPr="007F0DAA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7F0DAA" w:rsidRPr="007F0DAA" w:rsidTr="00B97A9F">
              <w:tc>
                <w:tcPr>
                  <w:tcW w:w="3432" w:type="dxa"/>
                </w:tcPr>
                <w:p w:rsidR="007F0DAA" w:rsidRPr="007F0DAA" w:rsidRDefault="007F0DAA" w:rsidP="00B97A9F">
                  <w:pPr>
                    <w:tabs>
                      <w:tab w:val="left" w:pos="3920"/>
                    </w:tabs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7F0DAA">
                    <w:rPr>
                      <w:b/>
                      <w:bCs/>
                      <w:iCs/>
                      <w:sz w:val="22"/>
                      <w:szCs w:val="22"/>
                    </w:rPr>
                    <w:t>Összesen:</w:t>
                  </w:r>
                </w:p>
              </w:tc>
              <w:tc>
                <w:tcPr>
                  <w:tcW w:w="3067" w:type="dxa"/>
                </w:tcPr>
                <w:p w:rsidR="007F0DAA" w:rsidRPr="007F0DAA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7F0DAA">
                    <w:rPr>
                      <w:b/>
                      <w:bCs/>
                      <w:iCs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2991" w:type="dxa"/>
                </w:tcPr>
                <w:p w:rsidR="007F0DAA" w:rsidRPr="007F0DAA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7F0DAA">
                    <w:rPr>
                      <w:b/>
                      <w:bCs/>
                      <w:iCs/>
                      <w:sz w:val="22"/>
                      <w:szCs w:val="22"/>
                    </w:rPr>
                    <w:t>32</w:t>
                  </w:r>
                </w:p>
              </w:tc>
            </w:tr>
          </w:tbl>
          <w:p w:rsidR="00406BAD" w:rsidRPr="007F0DAA" w:rsidRDefault="00406BAD" w:rsidP="00406BAD">
            <w:pPr>
              <w:tabs>
                <w:tab w:val="left" w:pos="392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406BAD" w:rsidRPr="00406BAD" w:rsidRDefault="00406BAD" w:rsidP="00406BAD">
            <w:pPr>
              <w:tabs>
                <w:tab w:val="left" w:pos="392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Termékek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02"/>
              <w:gridCol w:w="3032"/>
              <w:gridCol w:w="2956"/>
            </w:tblGrid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032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2014</w:t>
                  </w:r>
                  <w:r w:rsidR="00406BAD" w:rsidRPr="00406BAD">
                    <w:rPr>
                      <w:b/>
                      <w:bCs/>
                      <w:iCs/>
                      <w:sz w:val="22"/>
                      <w:szCs w:val="22"/>
                    </w:rPr>
                    <w:t>. év</w:t>
                  </w:r>
                </w:p>
              </w:tc>
              <w:tc>
                <w:tcPr>
                  <w:tcW w:w="2956" w:type="dxa"/>
                </w:tcPr>
                <w:p w:rsidR="00406BAD" w:rsidRPr="00406BAD" w:rsidRDefault="007F0DAA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2015</w:t>
                  </w:r>
                  <w:r w:rsidR="00406BAD" w:rsidRPr="00406BAD">
                    <w:rPr>
                      <w:b/>
                      <w:bCs/>
                      <w:iCs/>
                      <w:sz w:val="22"/>
                      <w:szCs w:val="22"/>
                    </w:rPr>
                    <w:t>. év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Élelmiszerek, Italok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Textil, ruhanemű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Lábbelik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33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Építőanyagok, burkolatok, nyílászárók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5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Számítástechnika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Híradástechnika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5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Háztartási és kerti gépek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11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Látszerészet, optikai eszközök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Gyógyászati termékek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Járművek alkatrészek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Bútor, sportszert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4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406BAD" w:rsidRDefault="00406BAD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406BAD">
                    <w:rPr>
                      <w:bCs/>
                      <w:iCs/>
                      <w:sz w:val="22"/>
                      <w:szCs w:val="22"/>
                    </w:rPr>
                    <w:t>Egyéb termékek</w:t>
                  </w:r>
                </w:p>
              </w:tc>
              <w:tc>
                <w:tcPr>
                  <w:tcW w:w="3032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956" w:type="dxa"/>
                </w:tcPr>
                <w:p w:rsidR="00406BAD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8</w:t>
                  </w:r>
                </w:p>
              </w:tc>
            </w:tr>
            <w:tr w:rsidR="00406BAD" w:rsidRPr="00406BAD" w:rsidTr="00B97A9F">
              <w:tc>
                <w:tcPr>
                  <w:tcW w:w="3502" w:type="dxa"/>
                </w:tcPr>
                <w:p w:rsidR="00406BAD" w:rsidRPr="00B636DE" w:rsidRDefault="00B636DE" w:rsidP="00B97A9F">
                  <w:pPr>
                    <w:tabs>
                      <w:tab w:val="left" w:pos="3920"/>
                    </w:tabs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Áttétel</w:t>
                  </w:r>
                </w:p>
              </w:tc>
              <w:tc>
                <w:tcPr>
                  <w:tcW w:w="3032" w:type="dxa"/>
                </w:tcPr>
                <w:p w:rsidR="00406BAD" w:rsidRPr="00B636DE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956" w:type="dxa"/>
                </w:tcPr>
                <w:p w:rsidR="00406BAD" w:rsidRPr="00B636DE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2</w:t>
                  </w:r>
                </w:p>
              </w:tc>
            </w:tr>
            <w:tr w:rsidR="007F0DAA" w:rsidRPr="00406BAD" w:rsidTr="00B97A9F">
              <w:tc>
                <w:tcPr>
                  <w:tcW w:w="3502" w:type="dxa"/>
                </w:tcPr>
                <w:p w:rsidR="007F0DAA" w:rsidRPr="00406BAD" w:rsidRDefault="00B636DE" w:rsidP="00B97A9F">
                  <w:pPr>
                    <w:tabs>
                      <w:tab w:val="left" w:pos="3920"/>
                    </w:tabs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Összesen:</w:t>
                  </w:r>
                </w:p>
              </w:tc>
              <w:tc>
                <w:tcPr>
                  <w:tcW w:w="3032" w:type="dxa"/>
                </w:tcPr>
                <w:p w:rsidR="007F0DAA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2956" w:type="dxa"/>
                </w:tcPr>
                <w:p w:rsidR="007F0DAA" w:rsidRPr="00406BAD" w:rsidRDefault="00B636DE" w:rsidP="00B97A9F">
                  <w:pPr>
                    <w:tabs>
                      <w:tab w:val="left" w:pos="3920"/>
                    </w:tabs>
                    <w:jc w:val="center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>78</w:t>
                  </w:r>
                </w:p>
              </w:tc>
            </w:tr>
          </w:tbl>
          <w:p w:rsidR="00406BAD" w:rsidRPr="00406BAD" w:rsidRDefault="00406BAD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B636DE" w:rsidRDefault="00B636DE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B636DE">
              <w:rPr>
                <w:b/>
                <w:bCs/>
                <w:iCs/>
                <w:sz w:val="22"/>
                <w:szCs w:val="22"/>
                <w:u w:val="single"/>
              </w:rPr>
              <w:t>a.) A főbb panasz okok:</w:t>
            </w:r>
            <w:r>
              <w:rPr>
                <w:b/>
                <w:bCs/>
                <w:iCs/>
                <w:sz w:val="22"/>
                <w:szCs w:val="22"/>
                <w:u w:val="single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 xml:space="preserve">a termékek (főleg a lábbelik) minősége nem megfelelő, a szolgáltatások teljesítése nem az elvárt színvonalon és nem a szerződésben foglaltak szerint történik. A felek nem értenek egyet a számlázással, az elszámolással. Több esetben számlát sem kaptak. </w:t>
            </w:r>
          </w:p>
          <w:p w:rsidR="00B636DE" w:rsidRDefault="00B636DE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A táblázatokból és a számadatokból látható, hogy a termékek szavatossági, jótállási ügyek aránya lényegesen meghaladta a szolgáltatásokét. Összesen lezárt 110 ügyből termékszavatossági (jótállási + egyéb ügy 78 (71 %), míg szolgáltatásból 32 ügy (29 %) volt. </w:t>
            </w:r>
          </w:p>
          <w:p w:rsidR="00B636DE" w:rsidRDefault="00B636DE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:rsidR="00B636DE" w:rsidRDefault="00B636DE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BE3FB2">
              <w:rPr>
                <w:b/>
                <w:bCs/>
                <w:iCs/>
                <w:sz w:val="22"/>
                <w:szCs w:val="22"/>
                <w:u w:val="single"/>
              </w:rPr>
              <w:t>A szolgáltatásokkal</w:t>
            </w:r>
            <w:r>
              <w:rPr>
                <w:bCs/>
                <w:iCs/>
                <w:sz w:val="22"/>
                <w:szCs w:val="22"/>
              </w:rPr>
              <w:t xml:space="preserve"> kapcsolatos panaszok száma 32 volt. Ebből közüzemi szolgáltatással kapcsolatos kérelem 11 esetben került a testület elé, nyílászárókkal kapcsolatosan 4, turizmussal összefüggésben 4, javítás, karbantartás 3, posta és távközlés 3, közlekedés, ingatlan, és egyéb szolgáltatással összefüggésben 1-1 ügy volt a beszámolási időszakban. </w:t>
            </w:r>
          </w:p>
          <w:p w:rsidR="00A04D56" w:rsidRDefault="00A04D56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Változatlanul előfordultak a hulladékszállítással (3 ügy) kapcsolatos és az áramszolgáltatással (3 ügy) kapcsolatos sérelmek, panaszok is. </w:t>
            </w:r>
          </w:p>
          <w:p w:rsidR="00A04D56" w:rsidRPr="00A04D56" w:rsidRDefault="00A04D56" w:rsidP="00406BAD">
            <w:pPr>
              <w:tabs>
                <w:tab w:val="left" w:pos="392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A04D56" w:rsidRDefault="00A04D56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BE3FB2">
              <w:rPr>
                <w:b/>
                <w:bCs/>
                <w:iCs/>
                <w:sz w:val="22"/>
                <w:szCs w:val="22"/>
                <w:u w:val="single"/>
              </w:rPr>
              <w:t xml:space="preserve">Termékszavatossággal </w:t>
            </w:r>
            <w:r w:rsidRPr="00A04D56">
              <w:rPr>
                <w:bCs/>
                <w:iCs/>
                <w:sz w:val="22"/>
                <w:szCs w:val="22"/>
              </w:rPr>
              <w:t>78 ügy fü</w:t>
            </w:r>
            <w:r>
              <w:rPr>
                <w:bCs/>
                <w:iCs/>
                <w:sz w:val="22"/>
                <w:szCs w:val="22"/>
              </w:rPr>
              <w:t xml:space="preserve">ggött össze. Az előző finanszírozási időszakhoz (2014 év) képest csak </w:t>
            </w:r>
            <w:r w:rsidRPr="00BE3FB2">
              <w:rPr>
                <w:bCs/>
                <w:iCs/>
                <w:sz w:val="22"/>
                <w:szCs w:val="22"/>
                <w:u w:val="single"/>
              </w:rPr>
              <w:t>minimális</w:t>
            </w:r>
            <w:r>
              <w:rPr>
                <w:bCs/>
                <w:iCs/>
                <w:sz w:val="22"/>
                <w:szCs w:val="22"/>
              </w:rPr>
              <w:t xml:space="preserve"> változások történtek.</w:t>
            </w:r>
          </w:p>
          <w:p w:rsidR="00B636DE" w:rsidRPr="003948F6" w:rsidRDefault="00A04D56" w:rsidP="00406BAD">
            <w:pPr>
              <w:tabs>
                <w:tab w:val="left" w:pos="3920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 lábbelivel kapcsolatos ügy szerepelt a testület előtt, előző évben csupán 27 ügyünk volt.</w:t>
            </w:r>
            <w:r w:rsidR="003948F6">
              <w:rPr>
                <w:bCs/>
                <w:iCs/>
                <w:sz w:val="22"/>
                <w:szCs w:val="22"/>
              </w:rPr>
              <w:t xml:space="preserve"> Jellemző hibák: a textil felfeslik, a talp leválik, a ragasztások elengednek. A fogyasztók bosszúságára nem csak az alacsony hanem a magasabb érfekvésű (25-30 ezer forintos)áruk esetében is. A becsatolt szakértői vélemények többsége nem felelnek meg sem tartalmi, sem a formai előírásoknak. </w:t>
            </w:r>
            <w:r w:rsidR="003948F6" w:rsidRPr="000E0EAD">
              <w:rPr>
                <w:bCs/>
                <w:iCs/>
                <w:sz w:val="22"/>
                <w:szCs w:val="22"/>
              </w:rPr>
              <w:t xml:space="preserve">Sematikus </w:t>
            </w:r>
            <w:r w:rsidR="000E0EAD" w:rsidRPr="000E0EAD">
              <w:rPr>
                <w:bCs/>
                <w:iCs/>
                <w:sz w:val="22"/>
                <w:szCs w:val="22"/>
              </w:rPr>
              <w:t>egyen</w:t>
            </w:r>
            <w:r w:rsidR="003948F6" w:rsidRPr="000E0EAD">
              <w:rPr>
                <w:bCs/>
                <w:iCs/>
                <w:sz w:val="22"/>
                <w:szCs w:val="22"/>
              </w:rPr>
              <w:t xml:space="preserve"> szakvélemények</w:t>
            </w:r>
          </w:p>
          <w:p w:rsidR="00B636DE" w:rsidRDefault="003948F6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11 </w:t>
            </w:r>
            <w:r w:rsidRPr="00BE3FB2">
              <w:rPr>
                <w:bCs/>
                <w:iCs/>
                <w:sz w:val="22"/>
                <w:szCs w:val="22"/>
                <w:u w:val="single"/>
              </w:rPr>
              <w:t>háztartási és kerti géppel</w:t>
            </w:r>
            <w:r>
              <w:rPr>
                <w:bCs/>
                <w:iCs/>
                <w:sz w:val="22"/>
                <w:szCs w:val="22"/>
              </w:rPr>
              <w:t xml:space="preserve">, 5 </w:t>
            </w:r>
            <w:r w:rsidRPr="00BE3FB2">
              <w:rPr>
                <w:bCs/>
                <w:iCs/>
                <w:sz w:val="22"/>
                <w:szCs w:val="22"/>
                <w:u w:val="single"/>
              </w:rPr>
              <w:t>híradástechnikai</w:t>
            </w:r>
            <w:r>
              <w:rPr>
                <w:bCs/>
                <w:iCs/>
                <w:sz w:val="22"/>
                <w:szCs w:val="22"/>
              </w:rPr>
              <w:t xml:space="preserve"> eszközzel kapcsolatos ügy és szerepelt a testület előtt.</w:t>
            </w:r>
          </w:p>
          <w:p w:rsidR="003948F6" w:rsidRDefault="003948F6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Kifogásolható az a kereskedői és szolgáltatói magatartás amikor is a gyártó, illetőleg a szerviz véleményére hivatkozva utasítják el a fogyasztói reklamációkat. A szerviz pedig a gyártóval áll szerződéses viszonyban. </w:t>
            </w:r>
          </w:p>
          <w:p w:rsidR="003948F6" w:rsidRDefault="003948F6" w:rsidP="00406BAD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  <w:r w:rsidRPr="00BE3FB2">
              <w:rPr>
                <w:bCs/>
                <w:iCs/>
                <w:sz w:val="22"/>
                <w:szCs w:val="22"/>
                <w:u w:val="single"/>
              </w:rPr>
              <w:t>Gyógyászati termékek és közúti járművek</w:t>
            </w:r>
            <w:r>
              <w:rPr>
                <w:bCs/>
                <w:iCs/>
                <w:sz w:val="22"/>
                <w:szCs w:val="22"/>
              </w:rPr>
              <w:t xml:space="preserve"> esetében a beérkezett kérelmek száma 8 és 7 ügyről 3 és 3 ügyre csökkent, az előző évhez képest.</w:t>
            </w:r>
            <w:r w:rsidR="00BE3FB2">
              <w:rPr>
                <w:bCs/>
                <w:iCs/>
                <w:sz w:val="22"/>
                <w:szCs w:val="22"/>
              </w:rPr>
              <w:t xml:space="preserve"> A használt gépkocsik értékesítésekor sem a fogyasztók, sem az eladót nem járnak el körültekintően. Állapotfelmérés nélkül vásárolnak, ami nagy mértékben megnehezíti a szavatossági igény utólagos érvényesítését. </w:t>
            </w:r>
          </w:p>
          <w:p w:rsidR="00342655" w:rsidRPr="00406BAD" w:rsidRDefault="00342655" w:rsidP="00BE3FB2">
            <w:pPr>
              <w:tabs>
                <w:tab w:val="left" w:pos="3920"/>
              </w:tabs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25264C" w:rsidRPr="00406BAD" w:rsidTr="00BE3FB2">
        <w:trPr>
          <w:trHeight w:val="125"/>
        </w:trPr>
        <w:tc>
          <w:tcPr>
            <w:tcW w:w="9640" w:type="dxa"/>
            <w:tcBorders>
              <w:top w:val="single" w:sz="4" w:space="0" w:color="auto"/>
              <w:bottom w:val="single" w:sz="4" w:space="0" w:color="auto"/>
            </w:tcBorders>
          </w:tcPr>
          <w:p w:rsidR="0025264C" w:rsidRDefault="0025264C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BE3FB2" w:rsidRDefault="00BE3FB2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BE3FB2" w:rsidRDefault="00BE3FB2" w:rsidP="00C8295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342655" w:rsidRPr="00406BAD" w:rsidTr="00406BAD">
        <w:trPr>
          <w:trHeight w:val="713"/>
        </w:trPr>
        <w:tc>
          <w:tcPr>
            <w:tcW w:w="9640" w:type="dxa"/>
            <w:tcBorders>
              <w:top w:val="single" w:sz="4" w:space="0" w:color="auto"/>
              <w:bottom w:val="single" w:sz="4" w:space="0" w:color="auto"/>
            </w:tcBorders>
          </w:tcPr>
          <w:p w:rsidR="00342655" w:rsidRPr="00406BAD" w:rsidRDefault="00891FFA" w:rsidP="00BB3D65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D9D9D9" w:themeFill="background1" w:themeFillShade="D9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lastRenderedPageBreak/>
              <w:t>2.2. Az ügyek tárgy szerint, hogyan alakult az alapos és alaptalan kérelmek aránya az eljárások milyen eredményre vezettek, (megszüntetés, egyezség, ajánlás, kötelezés) a jogviták meg</w:t>
            </w:r>
            <w:r w:rsidR="0038758C" w:rsidRPr="00406BAD">
              <w:rPr>
                <w:b/>
                <w:bCs/>
                <w:iCs/>
                <w:sz w:val="22"/>
                <w:szCs w:val="22"/>
              </w:rPr>
              <w:t>előzése, ill. eredmény</w:t>
            </w:r>
            <w:r w:rsidRPr="00406BAD">
              <w:rPr>
                <w:b/>
                <w:bCs/>
                <w:iCs/>
                <w:sz w:val="22"/>
                <w:szCs w:val="22"/>
              </w:rPr>
              <w:t xml:space="preserve">esebb befejezése érdekében mit </w:t>
            </w:r>
            <w:r w:rsidR="0038758C" w:rsidRPr="00406BAD">
              <w:rPr>
                <w:b/>
                <w:bCs/>
                <w:iCs/>
                <w:sz w:val="22"/>
                <w:szCs w:val="22"/>
              </w:rPr>
              <w:t>célszerű kommunikálni a fogyasztók, illetve a vállalkozások felé.</w:t>
            </w:r>
          </w:p>
          <w:p w:rsidR="00145BF8" w:rsidRPr="00406BAD" w:rsidRDefault="00145BF8" w:rsidP="006D3DF7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0F7A06" w:rsidRDefault="00C82959" w:rsidP="006D3DF7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Az ügyek tárgya szerinti alakulásáról alapos és alaptalan kérelmek aránya, és hogy az eljárások milyen eredményre vezettek (megszűntetés, </w:t>
            </w:r>
            <w:r w:rsidR="000E0EAD">
              <w:rPr>
                <w:bCs/>
                <w:iCs/>
                <w:sz w:val="22"/>
                <w:szCs w:val="22"/>
                <w:u w:val="single"/>
              </w:rPr>
              <w:t>egyezség, ajánlás</w:t>
            </w:r>
            <w:r w:rsidRPr="000F7A06">
              <w:rPr>
                <w:bCs/>
                <w:iCs/>
                <w:sz w:val="22"/>
                <w:szCs w:val="22"/>
                <w:u w:val="single"/>
              </w:rPr>
              <w:t xml:space="preserve">, kötelezés) pontos számadatokról nem tudunk beszámolni, mivel ilyen statisztika nem készült. </w:t>
            </w:r>
            <w:r w:rsidR="000F7A06" w:rsidRPr="000F7A06">
              <w:rPr>
                <w:bCs/>
                <w:iCs/>
                <w:sz w:val="22"/>
                <w:szCs w:val="22"/>
                <w:u w:val="single"/>
              </w:rPr>
              <w:t>Véleményünk szerint az egyezség, a kötelezés, az ajánlás, a kérelem visszavonása, az eljárás megindítása utáni megegyezés az alapos kérelmekhez sorolható</w:t>
            </w:r>
            <w:r w:rsidR="000F7A06">
              <w:rPr>
                <w:bCs/>
                <w:iCs/>
                <w:sz w:val="22"/>
                <w:szCs w:val="22"/>
              </w:rPr>
              <w:t>. Az elutasítás, az egyéb okból (beleértve az alaptalanságot is) való megszüntetés pedig az „alaptalan” kérelmekhez tartozik.</w:t>
            </w:r>
          </w:p>
          <w:p w:rsidR="000F7A06" w:rsidRDefault="000F7A06" w:rsidP="006D3DF7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145BF8" w:rsidRPr="00406BAD" w:rsidRDefault="000F7A06" w:rsidP="006D3DF7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Az ügyek kimenetelét mutató táblázat alapján a lezárt 110 ügyből 60 ügyben született – a fogyasztó szempontjából – pozitív döntés (egyezség, ajánlás, a.) pontos, (a fogyasztó a kérelmét visszavonta) megszüntetés.  </w:t>
            </w:r>
          </w:p>
          <w:p w:rsidR="0038758C" w:rsidRPr="00406BAD" w:rsidRDefault="0038758C" w:rsidP="0038758C">
            <w:pPr>
              <w:jc w:val="both"/>
              <w:rPr>
                <w:b/>
                <w:bCs/>
                <w:iCs/>
                <w:sz w:val="22"/>
                <w:szCs w:val="22"/>
                <w:highlight w:val="lightGray"/>
              </w:rPr>
            </w:pPr>
          </w:p>
          <w:p w:rsidR="0038758C" w:rsidRPr="00406BAD" w:rsidRDefault="0038758C" w:rsidP="00406BAD">
            <w:pPr>
              <w:pBdr>
                <w:top w:val="single" w:sz="4" w:space="1" w:color="auto"/>
                <w:bottom w:val="single" w:sz="4" w:space="1" w:color="auto"/>
              </w:pBdr>
              <w:shd w:val="pct25" w:color="auto" w:fill="auto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2.3. Ismertesse az egyezséget, illetve kötelezést segítő, akadályozó tényezőket, a fogyasztói visszajelzések arányát a határozatokban, ajánlásokban foglaltak betartásának alakulását.</w:t>
            </w:r>
          </w:p>
          <w:p w:rsidR="00F03B80" w:rsidRPr="00406BAD" w:rsidRDefault="00F03B80" w:rsidP="0038758C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38758C" w:rsidRPr="00406BAD" w:rsidRDefault="0038758C" w:rsidP="0038758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Eljárásaink során a cél végig a fogyasztó és a vállalkozás közötti, a jogszabályoknak megfelelő egyezség létrehozása. Ez gyakran megvalósul azáltal is, hogy a felek által tett nyilatkozatokat – amelyet független harmadik félnek szánva fogalmaznak meg – egy kívülálló szereplő (eljáró tanács tagjai) által kontrollált helyzetben újraértelmezik esetleg álláspontjuk felülvizsgálatára, sőt akár módosítására is sor kerül. </w:t>
            </w:r>
          </w:p>
          <w:p w:rsidR="0038758C" w:rsidRPr="00406BAD" w:rsidRDefault="0038758C" w:rsidP="0038758C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>Az eljárások során gyakran előfordul</w:t>
            </w:r>
            <w:r w:rsidR="00B347AF" w:rsidRPr="00406BAD">
              <w:rPr>
                <w:bCs/>
                <w:iCs/>
                <w:sz w:val="22"/>
                <w:szCs w:val="22"/>
              </w:rPr>
              <w:t xml:space="preserve">, hogy az eljáró tanács elnökének, tagjainak segítő – felvilágosító tevékenységük nyomán, a fogyasztó az általa előterjesztett kérelmet vagy a vállalkozó a válasziratában foglaltakat – az eljárást befejező döntés meghozataláig – módosítják. </w:t>
            </w:r>
          </w:p>
          <w:p w:rsidR="00C61C4E" w:rsidRDefault="00C61C4E" w:rsidP="0038758C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Egyezséget, illetve kötelezést akadályozó tényező már az eljárás konstrukciójában keresendő. A fogyasztó kérelmében kér valamit, amire a vállalkozás álláspontját előadva reagál azonban arra lehetőség nincs, hogy bármilyen ellenkérelmet terjesszen elő. akadályozó tényező az is, hogy a vállalkozás a Fgytv. 29. § (8) bekezdésében foglaltakat megsértve nem nyilatkozik, a személyes meghallgatáson nem jön el. Alávetési nyilatkozatot az ügyek 2-3 százalékában tesznek csupán. </w:t>
            </w:r>
          </w:p>
          <w:p w:rsidR="00381B58" w:rsidRPr="00406BAD" w:rsidRDefault="00381B58" w:rsidP="0038758C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C61C4E" w:rsidRPr="00406BAD" w:rsidRDefault="00C61C4E" w:rsidP="00406BAD">
            <w:pPr>
              <w:pBdr>
                <w:top w:val="single" w:sz="4" w:space="1" w:color="auto"/>
                <w:bottom w:val="single" w:sz="4" w:space="1" w:color="auto"/>
              </w:pBdr>
              <w:shd w:val="pct25" w:color="auto" w:fill="auto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3. Ismertesse a fogyasztói jogviták intézésével összefüggő lényegesnek tartott tapasztalatokat! (Tudják-e tartani az eljárási határidőket, mennyi az átlagos ügyintézési határidő, egy testületi tag által, illetve írásban lefolytatott eljárások száma értékelje a vállalkozások együttműködési készségét, alávetések alakulása, nyilvánosságra hozatal oka, száma, módja, a tanács határozata, ajánlása elleni jogorvoslatok száma, eredménye, stb.)</w:t>
            </w:r>
          </w:p>
          <w:p w:rsidR="0038758C" w:rsidRPr="00406BAD" w:rsidRDefault="0038758C" w:rsidP="0038758C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BD42B6" w:rsidRPr="00406BAD" w:rsidRDefault="00BD42B6" w:rsidP="00BD42B6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>Az ügyintézési határidők vonatkozásában változatlanul az jelenti a problémát, hogy a kérelmek nem egyenletesen érkeznek az év során, hanem aránytalanul. Vannak csúcsidőszakok, amikor tömegesen érkeznek beadványok (november-december hónap) máskor lényegesen kevesebb. a törvényi határidőket ennek ellenére is tudtuk tartani. Az átlagos ügyi</w:t>
            </w:r>
            <w:r w:rsidR="000F7A06">
              <w:rPr>
                <w:bCs/>
                <w:iCs/>
                <w:sz w:val="22"/>
                <w:szCs w:val="22"/>
              </w:rPr>
              <w:t>ntézési határidő az előző évi 45 napról 41</w:t>
            </w:r>
            <w:r w:rsidRPr="00406BAD">
              <w:rPr>
                <w:bCs/>
                <w:iCs/>
                <w:sz w:val="22"/>
                <w:szCs w:val="22"/>
              </w:rPr>
              <w:t xml:space="preserve"> napra csökkent. Írásban lefolytatott eljárást nem végeztünk.</w:t>
            </w:r>
          </w:p>
          <w:p w:rsidR="00BD42B6" w:rsidRPr="00406BAD" w:rsidRDefault="00BD42B6" w:rsidP="00BD42B6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A vállalkozások együttműködési készsége az előző évhez viszonyítva valamelyest javult. </w:t>
            </w:r>
            <w:r w:rsidR="000F7A06">
              <w:rPr>
                <w:bCs/>
                <w:iCs/>
                <w:sz w:val="22"/>
                <w:szCs w:val="22"/>
              </w:rPr>
              <w:t>110</w:t>
            </w:r>
            <w:r w:rsidRPr="00406BAD">
              <w:rPr>
                <w:bCs/>
                <w:iCs/>
                <w:sz w:val="22"/>
                <w:szCs w:val="22"/>
              </w:rPr>
              <w:t xml:space="preserve"> eljárásból </w:t>
            </w:r>
            <w:r w:rsidR="000F7A06">
              <w:rPr>
                <w:bCs/>
                <w:iCs/>
                <w:sz w:val="22"/>
                <w:szCs w:val="22"/>
              </w:rPr>
              <w:t>91</w:t>
            </w:r>
            <w:r w:rsidRPr="00406BAD">
              <w:rPr>
                <w:bCs/>
                <w:iCs/>
                <w:sz w:val="22"/>
                <w:szCs w:val="22"/>
              </w:rPr>
              <w:t xml:space="preserve"> alkalommal valósult meg az együttműködés. Százalékban kifejezve 75 %-</w:t>
            </w:r>
            <w:r w:rsidR="000F7A06">
              <w:rPr>
                <w:bCs/>
                <w:iCs/>
                <w:sz w:val="22"/>
                <w:szCs w:val="22"/>
              </w:rPr>
              <w:t>ról 83 %-</w:t>
            </w:r>
            <w:r w:rsidRPr="00406BAD">
              <w:rPr>
                <w:bCs/>
                <w:iCs/>
                <w:sz w:val="22"/>
                <w:szCs w:val="22"/>
              </w:rPr>
              <w:t>ra emelkedett az együttműködő vállalkozások aránya.</w:t>
            </w:r>
            <w:r w:rsidR="000F7A06">
              <w:rPr>
                <w:bCs/>
                <w:iCs/>
                <w:sz w:val="22"/>
                <w:szCs w:val="22"/>
              </w:rPr>
              <w:t xml:space="preserve"> November-december hónapban 96 %-ra emelkedett az együttműködők aránya.</w:t>
            </w:r>
          </w:p>
          <w:p w:rsidR="00BD42B6" w:rsidRPr="00406BAD" w:rsidRDefault="00BD42B6" w:rsidP="00BD42B6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>Eljárásaink során a cél végig a fogyasztó és a vállalkozás közötti – a jogszabályoknak megfelelő egyezség létrehozása volt. az egyezség létrehozását</w:t>
            </w:r>
            <w:r w:rsidR="000F7A06">
              <w:rPr>
                <w:bCs/>
                <w:iCs/>
                <w:sz w:val="22"/>
                <w:szCs w:val="22"/>
              </w:rPr>
              <w:t xml:space="preserve"> ugyanakkor nagyban a akadályozt</w:t>
            </w:r>
            <w:r w:rsidRPr="00406BAD">
              <w:rPr>
                <w:bCs/>
                <w:iCs/>
                <w:sz w:val="22"/>
                <w:szCs w:val="22"/>
              </w:rPr>
              <w:t xml:space="preserve">a az, hogy a vállalkozások 90%-a az egyeztető tárgyalásokon nem </w:t>
            </w:r>
            <w:r w:rsidR="000F7A06">
              <w:rPr>
                <w:bCs/>
                <w:iCs/>
                <w:sz w:val="22"/>
                <w:szCs w:val="22"/>
              </w:rPr>
              <w:t>jelentek meg. alapvető változás november – december hónapban történik</w:t>
            </w:r>
            <w:r w:rsidRPr="00406BAD">
              <w:rPr>
                <w:bCs/>
                <w:iCs/>
                <w:sz w:val="22"/>
                <w:szCs w:val="22"/>
              </w:rPr>
              <w:t xml:space="preserve">. </w:t>
            </w:r>
          </w:p>
          <w:p w:rsidR="00F03B80" w:rsidRPr="00406BAD" w:rsidRDefault="00BD42B6" w:rsidP="00BD42B6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Alávetési nyilatkozatot </w:t>
            </w:r>
            <w:r w:rsidR="000F7A06">
              <w:rPr>
                <w:bCs/>
                <w:iCs/>
                <w:sz w:val="22"/>
                <w:szCs w:val="22"/>
              </w:rPr>
              <w:t>4</w:t>
            </w:r>
            <w:r w:rsidRPr="00406BAD">
              <w:rPr>
                <w:bCs/>
                <w:iCs/>
                <w:sz w:val="22"/>
                <w:szCs w:val="22"/>
              </w:rPr>
              <w:t xml:space="preserve"> esetben tettek. A fogyasztói visszajelzések is csak elvétve fordultak elő. A </w:t>
            </w:r>
            <w:r w:rsidR="000F7A06">
              <w:rPr>
                <w:bCs/>
                <w:iCs/>
                <w:sz w:val="22"/>
                <w:szCs w:val="22"/>
              </w:rPr>
              <w:t>8</w:t>
            </w:r>
            <w:r w:rsidRPr="00406BAD">
              <w:rPr>
                <w:bCs/>
                <w:iCs/>
                <w:sz w:val="22"/>
                <w:szCs w:val="22"/>
              </w:rPr>
              <w:t xml:space="preserve"> egyezség és </w:t>
            </w:r>
            <w:r w:rsidR="000F7A06">
              <w:rPr>
                <w:bCs/>
                <w:iCs/>
                <w:sz w:val="22"/>
                <w:szCs w:val="22"/>
              </w:rPr>
              <w:t>26</w:t>
            </w:r>
            <w:r w:rsidRPr="00406BAD">
              <w:rPr>
                <w:bCs/>
                <w:iCs/>
                <w:sz w:val="22"/>
                <w:szCs w:val="22"/>
              </w:rPr>
              <w:t xml:space="preserve"> ajánlás közül mindössze </w:t>
            </w:r>
            <w:r w:rsidR="000F7A06">
              <w:rPr>
                <w:bCs/>
                <w:iCs/>
                <w:sz w:val="22"/>
                <w:szCs w:val="22"/>
              </w:rPr>
              <w:t>4</w:t>
            </w:r>
            <w:r w:rsidRPr="00406BAD">
              <w:rPr>
                <w:bCs/>
                <w:iCs/>
                <w:sz w:val="22"/>
                <w:szCs w:val="22"/>
              </w:rPr>
              <w:t xml:space="preserve"> esetben kaptunk visszajelzést a fogyasztók részéről.</w:t>
            </w:r>
            <w:r w:rsidR="00187FFC" w:rsidRPr="00406BAD">
              <w:rPr>
                <w:bCs/>
                <w:iCs/>
                <w:sz w:val="22"/>
                <w:szCs w:val="22"/>
              </w:rPr>
              <w:t xml:space="preserve">. </w:t>
            </w:r>
          </w:p>
          <w:p w:rsidR="0038758C" w:rsidRDefault="0038758C" w:rsidP="0038758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406BAD" w:rsidRPr="000F7A06" w:rsidRDefault="000F7A06" w:rsidP="0038758C">
            <w:pPr>
              <w:jc w:val="both"/>
              <w:rPr>
                <w:bCs/>
                <w:iCs/>
                <w:sz w:val="22"/>
                <w:szCs w:val="22"/>
              </w:rPr>
            </w:pPr>
            <w:r w:rsidRPr="000F7A06">
              <w:rPr>
                <w:bCs/>
                <w:iCs/>
                <w:sz w:val="22"/>
                <w:szCs w:val="22"/>
              </w:rPr>
              <w:t xml:space="preserve">Az, hogy </w:t>
            </w:r>
            <w:r>
              <w:rPr>
                <w:bCs/>
                <w:iCs/>
                <w:sz w:val="22"/>
                <w:szCs w:val="22"/>
              </w:rPr>
              <w:t xml:space="preserve">a meghozott ajánlások nagy részében nincs visszajelzés a közzétételre vonatkozóan, felfogható úgy is mint teljesített döntés. </w:t>
            </w:r>
          </w:p>
          <w:p w:rsidR="00406BAD" w:rsidRDefault="00406BAD" w:rsidP="0038758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406BAD" w:rsidRDefault="00406BAD" w:rsidP="0038758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406BAD" w:rsidRPr="00406BAD" w:rsidRDefault="00406BAD" w:rsidP="0038758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187FFC" w:rsidRPr="00406BAD" w:rsidRDefault="00187FFC" w:rsidP="00BB3D65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D9D9D9" w:themeFill="background1" w:themeFillShade="D9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4. Ismertesse a testület működését segítő, illetve akadályozó körülményeket! (pl.: Személyi, tárgyi feltételek, jogszabályi környezet, finanszírozás, a kamarával való együttműködés értékelése, együttműködés más szervezetekkel, stb.)</w:t>
            </w:r>
          </w:p>
          <w:p w:rsidR="00187FFC" w:rsidRPr="00406BAD" w:rsidRDefault="00187FFC" w:rsidP="00187FFC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406BAD" w:rsidRDefault="00406BAD" w:rsidP="00187FFC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145BF8" w:rsidRDefault="00187FFC" w:rsidP="000F7A06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>A Tolna Megyei Békéltető testület működésének személyi és tárgyi feltételei biztosítottak</w:t>
            </w:r>
            <w:r w:rsidR="000F7A06">
              <w:rPr>
                <w:bCs/>
                <w:iCs/>
                <w:sz w:val="22"/>
                <w:szCs w:val="22"/>
              </w:rPr>
              <w:t xml:space="preserve"> voltak az elmúlt években. Ugyanakkor jelentős problémát okozott a </w:t>
            </w:r>
            <w:r w:rsidR="000F7A06" w:rsidRPr="00F8251F">
              <w:rPr>
                <w:bCs/>
                <w:iCs/>
                <w:sz w:val="22"/>
                <w:szCs w:val="22"/>
                <w:u w:val="single"/>
              </w:rPr>
              <w:t>finanszírozási szerződés</w:t>
            </w:r>
            <w:r w:rsidR="000F7A06">
              <w:rPr>
                <w:bCs/>
                <w:iCs/>
                <w:sz w:val="22"/>
                <w:szCs w:val="22"/>
              </w:rPr>
              <w:t xml:space="preserve"> késése, amelynek pénzügyi fedezetét a 2014. évében elfogadott költségvetési törvény tudtunk szerint biztosította. </w:t>
            </w:r>
            <w:r w:rsidR="008F1DFA">
              <w:rPr>
                <w:bCs/>
                <w:iCs/>
                <w:sz w:val="22"/>
                <w:szCs w:val="22"/>
              </w:rPr>
              <w:t>A személyi feltételek (12 fő) lehetővé tették az egyre nagyobb és bonyolultabb feladatok ellátását. Közben – az év második felében – már készülni kellett a 2016. január 5-én kezdődő új ciklusra is.</w:t>
            </w:r>
          </w:p>
          <w:p w:rsidR="008F1DFA" w:rsidRDefault="008F1DFA" w:rsidP="000F7A0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8F1DFA" w:rsidRDefault="008F1DFA" w:rsidP="008F1DFA">
            <w:pPr>
              <w:jc w:val="both"/>
              <w:rPr>
                <w:bCs/>
                <w:iCs/>
                <w:sz w:val="22"/>
                <w:szCs w:val="22"/>
              </w:rPr>
            </w:pPr>
            <w:r w:rsidRPr="008F1DFA">
              <w:rPr>
                <w:bCs/>
                <w:iCs/>
                <w:sz w:val="22"/>
                <w:szCs w:val="22"/>
              </w:rPr>
              <w:t>A puhatol</w:t>
            </w:r>
            <w:r>
              <w:rPr>
                <w:bCs/>
                <w:iCs/>
                <w:sz w:val="22"/>
                <w:szCs w:val="22"/>
              </w:rPr>
              <w:t xml:space="preserve">ózó megbeszélések során – főleg az aktív korban lévő személyek – a jelenlegi finanszírozás mértékét és módszerét „csodálkozva” fogadták. Ez </w:t>
            </w:r>
            <w:r w:rsidR="00F8251F">
              <w:rPr>
                <w:bCs/>
                <w:iCs/>
                <w:sz w:val="22"/>
                <w:szCs w:val="22"/>
              </w:rPr>
              <w:t>nagymértékben</w:t>
            </w:r>
            <w:r>
              <w:rPr>
                <w:bCs/>
                <w:iCs/>
                <w:sz w:val="22"/>
                <w:szCs w:val="22"/>
              </w:rPr>
              <w:t xml:space="preserve"> hátráltatta (nehezítette) a testület megújulását. </w:t>
            </w:r>
          </w:p>
          <w:p w:rsidR="008F1DFA" w:rsidRDefault="008F1DFA" w:rsidP="008F1DFA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8F1DFA" w:rsidRDefault="00F8251F" w:rsidP="008F1DFA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A személyi és tárgyi feltételeknél nem látjuk most sem, hogy milyen </w:t>
            </w:r>
            <w:r w:rsidRPr="00F8251F">
              <w:rPr>
                <w:bCs/>
                <w:iCs/>
                <w:sz w:val="22"/>
                <w:szCs w:val="22"/>
                <w:u w:val="single"/>
              </w:rPr>
              <w:t>megoldások</w:t>
            </w:r>
            <w:r>
              <w:rPr>
                <w:bCs/>
                <w:iCs/>
                <w:sz w:val="22"/>
                <w:szCs w:val="22"/>
              </w:rPr>
              <w:t xml:space="preserve"> lesznek az önálló honlap létrehozásához, és működtetésének. </w:t>
            </w:r>
          </w:p>
          <w:p w:rsidR="00F8251F" w:rsidRPr="008F1DFA" w:rsidRDefault="00F8251F" w:rsidP="008F1DFA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Megítélésünk szerint – a már jelzett finanszírozás csökkentés – a kevesebb ügyszámú békéltető testületek jövőbeni tevékenységét ellehetetleníti. </w:t>
            </w:r>
            <w:r w:rsidRPr="00F8251F">
              <w:rPr>
                <w:bCs/>
                <w:iCs/>
                <w:sz w:val="22"/>
                <w:szCs w:val="22"/>
                <w:u w:val="single"/>
              </w:rPr>
              <w:t>Megoldást a költségarányos finanszírozásban látjuk</w:t>
            </w:r>
            <w:r>
              <w:rPr>
                <w:bCs/>
                <w:iCs/>
                <w:sz w:val="22"/>
                <w:szCs w:val="22"/>
              </w:rPr>
              <w:t xml:space="preserve">. </w:t>
            </w:r>
          </w:p>
        </w:tc>
      </w:tr>
      <w:tr w:rsidR="00342655" w:rsidRPr="00406BAD" w:rsidTr="0067102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669"/>
        </w:trPr>
        <w:tc>
          <w:tcPr>
            <w:tcW w:w="9640" w:type="dxa"/>
          </w:tcPr>
          <w:p w:rsidR="00F53C33" w:rsidRPr="00406BAD" w:rsidRDefault="00F53C33" w:rsidP="00BB3D65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BFBFBF" w:themeFill="background1" w:themeFillShade="BF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5. Ismertesse a testületeket, illetve a fogyasztóvédelmet érintő esetleges jogi szabályozásra vonatkozó észrevételeit, javaslatait.</w:t>
            </w:r>
          </w:p>
          <w:p w:rsidR="00F53C33" w:rsidRPr="00406BAD" w:rsidRDefault="00F53C33" w:rsidP="00F53C33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F53C33" w:rsidRPr="00406BAD" w:rsidRDefault="00F53C33" w:rsidP="00F8251F">
            <w:pPr>
              <w:jc w:val="both"/>
              <w:rPr>
                <w:b/>
                <w:iCs/>
                <w:sz w:val="22"/>
                <w:szCs w:val="22"/>
                <w:highlight w:val="lightGray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 </w:t>
            </w:r>
            <w:r w:rsidR="00F8251F">
              <w:rPr>
                <w:bCs/>
                <w:iCs/>
                <w:sz w:val="22"/>
                <w:szCs w:val="22"/>
              </w:rPr>
              <w:t>A jogszabályi környezet meghatározója a Fgytv. Ennek módosítása még ma is változatlanul felvet néhány értelmezési kérdést. Ilyen például a kötelező megjelenés az egyeztető tárgyalásokon. A testületi tagok mellett a vállalkozások és a fogyasztók is vitatják azt, hogy az „</w:t>
            </w:r>
            <w:r w:rsidR="00F8251F" w:rsidRPr="00F8251F">
              <w:rPr>
                <w:bCs/>
                <w:iCs/>
                <w:sz w:val="22"/>
                <w:szCs w:val="22"/>
                <w:u w:val="single"/>
              </w:rPr>
              <w:t>egyezség létrehozatalára feljogosított</w:t>
            </w:r>
            <w:r w:rsidR="00F8251F">
              <w:rPr>
                <w:bCs/>
                <w:iCs/>
                <w:sz w:val="22"/>
                <w:szCs w:val="22"/>
              </w:rPr>
              <w:t>” személy részvételének biztosítása miért lényeges kérdés, akkor, amikor a vállalkozás a szakértői véleményre alapozva elutasítja a fogyasztó igényét. De nem egyértelmű a „</w:t>
            </w:r>
            <w:r w:rsidR="00F8251F" w:rsidRPr="00483DCA">
              <w:rPr>
                <w:bCs/>
                <w:iCs/>
                <w:sz w:val="22"/>
                <w:szCs w:val="22"/>
                <w:u w:val="single"/>
              </w:rPr>
              <w:t>telephely” –„fióktelephely</w:t>
            </w:r>
            <w:r w:rsidR="00F8251F">
              <w:rPr>
                <w:bCs/>
                <w:iCs/>
                <w:sz w:val="22"/>
                <w:szCs w:val="22"/>
              </w:rPr>
              <w:t>”</w:t>
            </w:r>
          </w:p>
          <w:p w:rsidR="00F53C33" w:rsidRPr="00483DCA" w:rsidRDefault="00483DCA" w:rsidP="000E5762">
            <w:pPr>
              <w:jc w:val="both"/>
              <w:rPr>
                <w:iCs/>
                <w:sz w:val="22"/>
                <w:szCs w:val="22"/>
                <w:u w:val="single"/>
              </w:rPr>
            </w:pPr>
            <w:r w:rsidRPr="00483DCA">
              <w:rPr>
                <w:iCs/>
                <w:sz w:val="22"/>
                <w:szCs w:val="22"/>
              </w:rPr>
              <w:t xml:space="preserve">értelmezése is. </w:t>
            </w:r>
            <w:r w:rsidRPr="00483DCA">
              <w:rPr>
                <w:iCs/>
                <w:sz w:val="22"/>
                <w:szCs w:val="22"/>
                <w:u w:val="single"/>
              </w:rPr>
              <w:t>Javasolják a fenti kérdések megvitatását országos értekezlet keretében.</w:t>
            </w:r>
          </w:p>
          <w:p w:rsidR="00483DCA" w:rsidRPr="00406BAD" w:rsidRDefault="00483DCA" w:rsidP="000E5762">
            <w:pPr>
              <w:jc w:val="both"/>
              <w:rPr>
                <w:b/>
                <w:iCs/>
                <w:sz w:val="22"/>
                <w:szCs w:val="22"/>
                <w:highlight w:val="lightGray"/>
              </w:rPr>
            </w:pPr>
          </w:p>
          <w:p w:rsidR="00A178E5" w:rsidRPr="00406BAD" w:rsidRDefault="00A178E5" w:rsidP="00BB3D65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BFBFBF" w:themeFill="background1" w:themeFillShade="BF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6. Ismertesse, hogy mit tett a testület a vállalkozások együttműködési készségének fokozása érdekében, mik az ezt akadályozó körülmények, illetve az együttműködés milyen módon ösztönözhető!</w:t>
            </w:r>
          </w:p>
          <w:p w:rsidR="00A178E5" w:rsidRPr="00406BAD" w:rsidRDefault="00A178E5" w:rsidP="00A178E5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A178E5" w:rsidRPr="00406BAD" w:rsidRDefault="00A178E5" w:rsidP="00A178E5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 A vállalkozások együttműködési készségén csak fokozatosan lépésről – lépésre lehet javulást elérni. Még mindig érezhető a vállalkozások részéről a bizalmatlanság. az együttműködési készségüket kizárólag a részrehajlás mentes, szakmailag és jogilag megalapozott döntésekkel lehet jelentősen javítani. A meghallgatások során az eljáró tanácsok mindent megtesznek annak érdekében, hogy tudatosítsák úgy a fogyasztók, mint a vállalkozások számára, hogy miért előnyös a számára, hogy miért előnyös a békéltetős, szemben a pereskedéssel. </w:t>
            </w:r>
          </w:p>
          <w:p w:rsidR="00A178E5" w:rsidRPr="00406BAD" w:rsidRDefault="00A178E5" w:rsidP="00A178E5">
            <w:pPr>
              <w:jc w:val="both"/>
              <w:rPr>
                <w:b/>
                <w:iCs/>
                <w:sz w:val="22"/>
                <w:szCs w:val="22"/>
                <w:highlight w:val="lightGray"/>
              </w:rPr>
            </w:pPr>
          </w:p>
          <w:p w:rsidR="00A178E5" w:rsidRPr="00406BAD" w:rsidRDefault="00A178E5" w:rsidP="00BB3D65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BFBFBF" w:themeFill="background1" w:themeFillShade="BF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7. Mutassa be a promóciós kampányuk elemeit és részletesen azok eredményességét, valamint a fogyasztói visszajelzéseket. Csatolja a hirdetés</w:t>
            </w:r>
            <w:r w:rsidR="00B04C95">
              <w:rPr>
                <w:b/>
                <w:bCs/>
                <w:iCs/>
                <w:sz w:val="22"/>
                <w:szCs w:val="22"/>
              </w:rPr>
              <w:t>ek másolatát, és TV és rádió sp</w:t>
            </w:r>
            <w:r w:rsidRPr="00406BAD">
              <w:rPr>
                <w:b/>
                <w:bCs/>
                <w:iCs/>
                <w:sz w:val="22"/>
                <w:szCs w:val="22"/>
              </w:rPr>
              <w:t>ot esetén CD mellékletet.)</w:t>
            </w:r>
          </w:p>
          <w:p w:rsidR="00A178E5" w:rsidRPr="00406BAD" w:rsidRDefault="00A178E5" w:rsidP="00A178E5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F53C33" w:rsidRPr="00406BAD" w:rsidRDefault="00A178E5" w:rsidP="00A178E5">
            <w:pPr>
              <w:jc w:val="both"/>
              <w:rPr>
                <w:bCs/>
                <w:iCs/>
                <w:sz w:val="22"/>
                <w:szCs w:val="22"/>
              </w:rPr>
            </w:pPr>
            <w:r w:rsidRPr="00406BAD">
              <w:rPr>
                <w:bCs/>
                <w:iCs/>
                <w:sz w:val="22"/>
                <w:szCs w:val="22"/>
              </w:rPr>
              <w:t xml:space="preserve"> </w:t>
            </w:r>
            <w:r w:rsidR="00483DCA">
              <w:rPr>
                <w:bCs/>
                <w:iCs/>
                <w:sz w:val="22"/>
                <w:szCs w:val="22"/>
              </w:rPr>
              <w:t>2015</w:t>
            </w:r>
            <w:r w:rsidR="00BD42B6" w:rsidRPr="00406BAD">
              <w:rPr>
                <w:bCs/>
                <w:iCs/>
                <w:sz w:val="22"/>
                <w:szCs w:val="22"/>
              </w:rPr>
              <w:t>. évben – forráshiány miatt – PR tevékenységet nem tudtunk kifejteni.</w:t>
            </w:r>
          </w:p>
          <w:p w:rsidR="00A76BC4" w:rsidRPr="00406BAD" w:rsidRDefault="00A76BC4" w:rsidP="00A178E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76BC4" w:rsidRPr="00406BAD" w:rsidRDefault="00A76BC4" w:rsidP="002604CC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BFBFBF" w:themeFill="background1" w:themeFillShade="BF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>8. ismertesse, milyen szakmai rendezvényem (képzésen vettek részt a testület tagjai:</w:t>
            </w:r>
          </w:p>
          <w:p w:rsidR="00A76BC4" w:rsidRPr="00406BAD" w:rsidRDefault="00A76BC4" w:rsidP="00A76BC4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B04C95" w:rsidRDefault="00B04C95" w:rsidP="00B04C95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2015. évben összesen két szakmai rendezvényen vettünk részt. 2015. március 4-én az MKIK tanácstermében tartandó elnöki tanácskozáson. Itt előadást tartott. Koszor</w:t>
            </w:r>
            <w:r w:rsidR="009120F2">
              <w:rPr>
                <w:bCs/>
                <w:iCs/>
                <w:sz w:val="22"/>
                <w:szCs w:val="22"/>
              </w:rPr>
              <w:t>ús</w:t>
            </w:r>
            <w:r>
              <w:rPr>
                <w:bCs/>
                <w:iCs/>
                <w:sz w:val="22"/>
                <w:szCs w:val="22"/>
              </w:rPr>
              <w:t xml:space="preserve"> László</w:t>
            </w:r>
            <w:r w:rsidR="009120F2">
              <w:rPr>
                <w:bCs/>
                <w:iCs/>
                <w:sz w:val="22"/>
                <w:szCs w:val="22"/>
              </w:rPr>
              <w:t xml:space="preserve"> államtitkár helyettes és Dr. Korcsog Tamás jogtanácsos. Dr. Korcsog Tamás a békéltető testületek országos tapasztalatairól számolt be.</w:t>
            </w:r>
          </w:p>
          <w:p w:rsidR="009120F2" w:rsidRDefault="009120F2" w:rsidP="00B04C95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9120F2" w:rsidRDefault="009120F2" w:rsidP="00B04C95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Ugyancsak részt vettünk 2015. május </w:t>
            </w:r>
            <w:r w:rsidR="00235270">
              <w:rPr>
                <w:bCs/>
                <w:iCs/>
                <w:sz w:val="22"/>
                <w:szCs w:val="22"/>
              </w:rPr>
              <w:t>11-én a Budapesti Békéltető Testület által kezdeményezett rendezvényén is. E rendezvényen igen hasznos szakmai, és jogi ismeretekre tettünk szert.</w:t>
            </w:r>
          </w:p>
          <w:p w:rsidR="00A76BC4" w:rsidRDefault="00A76BC4" w:rsidP="00BD42B6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406BAD" w:rsidRDefault="00235270" w:rsidP="00BD42B6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Szakmai kérdések megvitatására az első félévben sort kerített a testület is.</w:t>
            </w:r>
          </w:p>
          <w:p w:rsidR="00235270" w:rsidRDefault="00235270" w:rsidP="00BD42B6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235270" w:rsidRDefault="00235270" w:rsidP="00BD42B6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Kiadványunk nincs, nem is tervezünk a jövőben sem. Publikációnk sem jelent meg. A Tolnai Népújságban megjelent riportjaink, tájékoztatóinkat nem sorolhatjuk e kategóriába.</w:t>
            </w:r>
          </w:p>
          <w:p w:rsidR="00406BAD" w:rsidRDefault="00406BAD" w:rsidP="00BD42B6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BD42B6" w:rsidRPr="00406BAD" w:rsidRDefault="00BD42B6" w:rsidP="00BD42B6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A76BC4" w:rsidRPr="00406BAD" w:rsidRDefault="00A76BC4" w:rsidP="002604CC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BFBFBF" w:themeFill="background1" w:themeFillShade="BF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06BAD">
              <w:rPr>
                <w:b/>
                <w:bCs/>
                <w:iCs/>
                <w:sz w:val="22"/>
                <w:szCs w:val="22"/>
              </w:rPr>
              <w:t xml:space="preserve">9. Ismertesse tanácsadói tevékenysége során szerzett tapasztalatokat, a testület tanácsadói rendszerét, illetve ügyfélszolgálatának működését. </w:t>
            </w:r>
          </w:p>
          <w:p w:rsidR="00A76BC4" w:rsidRPr="00406BAD" w:rsidRDefault="00A76BC4" w:rsidP="00A76BC4">
            <w:pPr>
              <w:ind w:left="720"/>
              <w:jc w:val="both"/>
              <w:rPr>
                <w:bCs/>
                <w:iCs/>
                <w:sz w:val="22"/>
                <w:szCs w:val="22"/>
              </w:rPr>
            </w:pPr>
          </w:p>
          <w:p w:rsidR="00BD42B6" w:rsidRDefault="00235270" w:rsidP="000E5762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A </w:t>
            </w:r>
            <w:r w:rsidR="00263F47">
              <w:rPr>
                <w:bCs/>
                <w:iCs/>
                <w:sz w:val="22"/>
                <w:szCs w:val="22"/>
              </w:rPr>
              <w:t xml:space="preserve">Békéltető Testület tanácsadói tevékenységét a fogyasztóvédelemről szóló 1997. évi CLV. tv. 18. § (1) bekezdésében foglaltaknak megfelelően végezte. Testületünk </w:t>
            </w:r>
            <w:r w:rsidR="00E73817">
              <w:rPr>
                <w:bCs/>
                <w:iCs/>
                <w:sz w:val="22"/>
                <w:szCs w:val="22"/>
              </w:rPr>
              <w:t>a hét két napján (hétfő és szerda) 9-11 óra közötti napszakban ügyfélfogadást tartott. Tanácsadásban elsősorban az elnök vett részt, azonban esetenként más tag is ad természetesen tanácsot. E-mailen is folytattunk tanácsadást. ezen felül telefonon – úgy a fogyasztók, mint a vállalkozások – reggel 8 és 16 óra között bármikor fordulhatnak tanácsért az elnökhöz. a tanácskérők döntő többsége ezt a lehetőséget veszi igénybe. Naponta többen kapnak ilyen formában tájékoztatást. Az érdeklődők általában megelégedéssel veszik tudomásul, még a számukra esetlegesen nem kedvező megoldás</w:t>
            </w:r>
            <w:r w:rsidR="001013AB">
              <w:rPr>
                <w:bCs/>
                <w:iCs/>
                <w:sz w:val="22"/>
                <w:szCs w:val="22"/>
              </w:rPr>
              <w:t xml:space="preserve">ú lehetőséget is. </w:t>
            </w:r>
          </w:p>
          <w:p w:rsidR="00E73817" w:rsidRDefault="00E73817" w:rsidP="000E5762">
            <w:pPr>
              <w:jc w:val="both"/>
              <w:rPr>
                <w:bCs/>
                <w:iCs/>
                <w:sz w:val="22"/>
                <w:szCs w:val="22"/>
              </w:rPr>
            </w:pPr>
          </w:p>
          <w:p w:rsidR="001013AB" w:rsidRPr="001052BC" w:rsidRDefault="001052BC" w:rsidP="000E5762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1052BC">
              <w:rPr>
                <w:b/>
                <w:bCs/>
                <w:iCs/>
                <w:sz w:val="22"/>
                <w:szCs w:val="22"/>
                <w:highlight w:val="lightGray"/>
              </w:rPr>
              <w:t>10. egyebek</w:t>
            </w:r>
          </w:p>
          <w:p w:rsidR="00406BAD" w:rsidRDefault="001013AB" w:rsidP="000E5762">
            <w:pPr>
              <w:jc w:val="both"/>
              <w:rPr>
                <w:iCs/>
                <w:sz w:val="22"/>
                <w:szCs w:val="22"/>
              </w:rPr>
            </w:pPr>
            <w:r w:rsidRPr="001013AB">
              <w:rPr>
                <w:iCs/>
                <w:sz w:val="22"/>
                <w:szCs w:val="22"/>
              </w:rPr>
              <w:t xml:space="preserve">A </w:t>
            </w:r>
            <w:r>
              <w:rPr>
                <w:iCs/>
                <w:sz w:val="22"/>
                <w:szCs w:val="22"/>
              </w:rPr>
              <w:t>békéltető testület jelenleg nem tagja valamely határon átnyúló alternatív vitarendezést elősegítő hálózatnak.</w:t>
            </w:r>
          </w:p>
          <w:p w:rsidR="001013AB" w:rsidRDefault="001013AB" w:rsidP="000E5762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2016. évben a békéltető testület tagjai számára rendszeres tájékoztatást képzést tervezünk a jogszabályi változtatásokról. </w:t>
            </w:r>
          </w:p>
          <w:p w:rsidR="001013AB" w:rsidRDefault="001013AB" w:rsidP="000E5762">
            <w:pPr>
              <w:jc w:val="both"/>
              <w:rPr>
                <w:iCs/>
                <w:sz w:val="22"/>
                <w:szCs w:val="22"/>
              </w:rPr>
            </w:pPr>
          </w:p>
          <w:p w:rsidR="001013AB" w:rsidRPr="001013AB" w:rsidRDefault="001013AB" w:rsidP="000E5762">
            <w:pPr>
              <w:jc w:val="both"/>
              <w:rPr>
                <w:iCs/>
                <w:sz w:val="22"/>
                <w:szCs w:val="22"/>
              </w:rPr>
            </w:pPr>
          </w:p>
          <w:p w:rsidR="00342655" w:rsidRPr="00406BAD" w:rsidRDefault="001052BC" w:rsidP="000E5762">
            <w:pPr>
              <w:jc w:val="both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  <w:highlight w:val="lightGray"/>
              </w:rPr>
              <w:t>11</w:t>
            </w:r>
            <w:r w:rsidR="00342655" w:rsidRPr="00406BAD">
              <w:rPr>
                <w:b/>
                <w:iCs/>
                <w:sz w:val="22"/>
                <w:szCs w:val="22"/>
                <w:highlight w:val="lightGray"/>
              </w:rPr>
              <w:t>. A szakmai beszámoló kötelező mellékletei</w:t>
            </w:r>
          </w:p>
          <w:p w:rsidR="00342655" w:rsidRPr="00406BAD" w:rsidRDefault="00342655" w:rsidP="000E5762">
            <w:pPr>
              <w:rPr>
                <w:iCs/>
                <w:sz w:val="22"/>
                <w:szCs w:val="22"/>
              </w:rPr>
            </w:pPr>
            <w:r w:rsidRPr="00406BAD">
              <w:rPr>
                <w:iCs/>
                <w:sz w:val="22"/>
                <w:szCs w:val="22"/>
              </w:rPr>
              <w:t>Kérjük, az alábbi mellékletet nyújtsák be finanszírozási időszakonként a szakmai beszámoló részeként:</w:t>
            </w:r>
          </w:p>
          <w:p w:rsidR="00342655" w:rsidRPr="00406BAD" w:rsidRDefault="00342655" w:rsidP="000E5762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214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14"/>
              <w:gridCol w:w="8272"/>
            </w:tblGrid>
            <w:tr w:rsidR="00342655" w:rsidRPr="00406BAD" w:rsidTr="000E5762">
              <w:trPr>
                <w:jc w:val="center"/>
              </w:trPr>
              <w:tc>
                <w:tcPr>
                  <w:tcW w:w="808" w:type="dxa"/>
                </w:tcPr>
                <w:p w:rsidR="00342655" w:rsidRPr="00406BAD" w:rsidRDefault="00342655" w:rsidP="000E5762">
                  <w:pPr>
                    <w:jc w:val="center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(M1)</w:t>
                  </w:r>
                </w:p>
                <w:p w:rsidR="00342655" w:rsidRPr="00406BAD" w:rsidRDefault="00342655" w:rsidP="000E5762">
                  <w:pPr>
                    <w:jc w:val="center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(M2/A)</w:t>
                  </w:r>
                </w:p>
                <w:p w:rsidR="00342655" w:rsidRPr="00406BAD" w:rsidRDefault="00342655" w:rsidP="000E5762">
                  <w:pPr>
                    <w:jc w:val="center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(M2/B)</w:t>
                  </w:r>
                </w:p>
                <w:p w:rsidR="00342655" w:rsidRPr="00406BAD" w:rsidRDefault="00342655" w:rsidP="000E5762">
                  <w:pPr>
                    <w:jc w:val="center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(M3/A,B)</w:t>
                  </w:r>
                </w:p>
                <w:p w:rsidR="00342655" w:rsidRPr="00406BAD" w:rsidRDefault="00342655" w:rsidP="000E5762">
                  <w:pPr>
                    <w:jc w:val="center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(M4)</w:t>
                  </w:r>
                </w:p>
              </w:tc>
              <w:tc>
                <w:tcPr>
                  <w:tcW w:w="8434" w:type="dxa"/>
                </w:tcPr>
                <w:p w:rsidR="00342655" w:rsidRPr="00406BAD" w:rsidRDefault="00342655" w:rsidP="000E5762">
                  <w:pPr>
                    <w:ind w:left="4489" w:hanging="4489"/>
                    <w:jc w:val="both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Statisztikai adatlap a békéltető testület ügytípusainak megoszlásáról</w:t>
                  </w:r>
                </w:p>
                <w:p w:rsidR="00342655" w:rsidRPr="00406BAD" w:rsidRDefault="00342655" w:rsidP="000E5762">
                  <w:pPr>
                    <w:jc w:val="both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Statisztikai adatlap a békéltető testületi ügyek Termékek szerinti megoszlásáról</w:t>
                  </w:r>
                </w:p>
                <w:p w:rsidR="00342655" w:rsidRPr="00406BAD" w:rsidRDefault="00342655" w:rsidP="000E5762">
                  <w:pPr>
                    <w:jc w:val="both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Statisztikai adatlap a békéltető testületi ügyek Szolgáltatások szerinti megoszlásáról</w:t>
                  </w:r>
                </w:p>
                <w:p w:rsidR="00342655" w:rsidRPr="00406BAD" w:rsidRDefault="00342655" w:rsidP="000E5762">
                  <w:pPr>
                    <w:jc w:val="both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Statisztikai adatlapok a békéltető testület tagjainak tevékenységéről</w:t>
                  </w:r>
                </w:p>
                <w:p w:rsidR="00342655" w:rsidRPr="00406BAD" w:rsidRDefault="00342655" w:rsidP="000E5762">
                  <w:pPr>
                    <w:jc w:val="both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>Statisztikai adatlap a békéltető testület döntéseinek bíróság előtti megtámadásáról</w:t>
                  </w:r>
                </w:p>
                <w:p w:rsidR="00342655" w:rsidRPr="00406BAD" w:rsidRDefault="00342655" w:rsidP="000E5762">
                  <w:pPr>
                    <w:ind w:left="-809"/>
                    <w:jc w:val="both"/>
                    <w:rPr>
                      <w:sz w:val="22"/>
                      <w:szCs w:val="22"/>
                    </w:rPr>
                  </w:pPr>
                  <w:r w:rsidRPr="00406BA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342655" w:rsidRPr="00406BAD" w:rsidRDefault="00342655" w:rsidP="000E5762">
            <w:pPr>
              <w:rPr>
                <w:sz w:val="22"/>
                <w:szCs w:val="22"/>
              </w:rPr>
            </w:pPr>
          </w:p>
        </w:tc>
      </w:tr>
    </w:tbl>
    <w:p w:rsidR="00671028" w:rsidRDefault="00671028" w:rsidP="00FC1114">
      <w:pPr>
        <w:ind w:left="-27"/>
        <w:jc w:val="both"/>
        <w:rPr>
          <w:b/>
          <w:bCs/>
          <w:iCs/>
          <w:sz w:val="22"/>
          <w:szCs w:val="22"/>
        </w:rPr>
      </w:pPr>
    </w:p>
    <w:p w:rsidR="00406BAD" w:rsidRDefault="00406BAD" w:rsidP="00FC1114">
      <w:pPr>
        <w:ind w:left="-27"/>
        <w:jc w:val="both"/>
        <w:rPr>
          <w:b/>
          <w:bCs/>
          <w:iCs/>
          <w:sz w:val="22"/>
          <w:szCs w:val="22"/>
        </w:rPr>
      </w:pPr>
    </w:p>
    <w:p w:rsidR="00406BAD" w:rsidRDefault="00406BAD" w:rsidP="00FC1114">
      <w:pPr>
        <w:ind w:left="-27"/>
        <w:jc w:val="both"/>
        <w:rPr>
          <w:b/>
          <w:bCs/>
          <w:iCs/>
          <w:sz w:val="22"/>
          <w:szCs w:val="22"/>
        </w:rPr>
      </w:pPr>
    </w:p>
    <w:p w:rsidR="00406BAD" w:rsidRDefault="00406BAD" w:rsidP="00FC1114">
      <w:pPr>
        <w:ind w:left="-27"/>
        <w:jc w:val="both"/>
        <w:rPr>
          <w:b/>
          <w:bCs/>
          <w:iCs/>
          <w:sz w:val="22"/>
          <w:szCs w:val="22"/>
        </w:rPr>
      </w:pPr>
    </w:p>
    <w:p w:rsidR="00406BAD" w:rsidRPr="00406BAD" w:rsidRDefault="00406BAD" w:rsidP="00FC1114">
      <w:pPr>
        <w:ind w:left="-27"/>
        <w:jc w:val="both"/>
        <w:rPr>
          <w:b/>
          <w:bCs/>
          <w:iCs/>
          <w:sz w:val="22"/>
          <w:szCs w:val="22"/>
        </w:rPr>
      </w:pPr>
    </w:p>
    <w:p w:rsidR="00FC1114" w:rsidRPr="00406BAD" w:rsidRDefault="00FC1114" w:rsidP="00FC1114">
      <w:pPr>
        <w:ind w:left="-27"/>
        <w:jc w:val="both"/>
        <w:rPr>
          <w:b/>
          <w:bCs/>
          <w:iCs/>
          <w:sz w:val="22"/>
          <w:szCs w:val="22"/>
        </w:rPr>
      </w:pPr>
      <w:r w:rsidRPr="00406BAD">
        <w:rPr>
          <w:b/>
          <w:bCs/>
          <w:iCs/>
          <w:sz w:val="22"/>
          <w:szCs w:val="22"/>
        </w:rPr>
        <w:t>A szakmai beszámoló hitelesítése</w:t>
      </w:r>
    </w:p>
    <w:p w:rsidR="00FC1114" w:rsidRPr="00406BAD" w:rsidRDefault="00FC1114" w:rsidP="00FC1114">
      <w:pPr>
        <w:ind w:left="-27"/>
        <w:jc w:val="both"/>
        <w:rPr>
          <w:bCs/>
          <w:iCs/>
          <w:sz w:val="22"/>
          <w:szCs w:val="22"/>
        </w:rPr>
      </w:pPr>
    </w:p>
    <w:p w:rsidR="00FC1114" w:rsidRPr="00406BAD" w:rsidRDefault="00FC1114" w:rsidP="00FC1114">
      <w:pPr>
        <w:ind w:left="-27"/>
        <w:jc w:val="both"/>
        <w:rPr>
          <w:bCs/>
          <w:iCs/>
          <w:sz w:val="22"/>
          <w:szCs w:val="22"/>
        </w:rPr>
      </w:pPr>
      <w:r w:rsidRPr="00406BAD">
        <w:rPr>
          <w:bCs/>
          <w:iCs/>
          <w:sz w:val="22"/>
          <w:szCs w:val="22"/>
        </w:rPr>
        <w:t>Alulírott Kedvezményezett kijelentem, hogy a Szakmai beszámolóban szereplő adatok és a mellékelt dokumentumok hitelesek és a valóságnak megfelelnek.</w:t>
      </w:r>
    </w:p>
    <w:p w:rsidR="00FC1114" w:rsidRDefault="00FC1114" w:rsidP="00FC1114">
      <w:pPr>
        <w:ind w:left="-27"/>
        <w:jc w:val="both"/>
        <w:rPr>
          <w:bCs/>
          <w:iCs/>
          <w:sz w:val="22"/>
          <w:szCs w:val="22"/>
        </w:rPr>
      </w:pPr>
    </w:p>
    <w:p w:rsidR="00406BAD" w:rsidRDefault="00406BAD" w:rsidP="00FC1114">
      <w:pPr>
        <w:ind w:left="-27"/>
        <w:jc w:val="both"/>
        <w:rPr>
          <w:bCs/>
          <w:iCs/>
          <w:sz w:val="22"/>
          <w:szCs w:val="22"/>
        </w:rPr>
      </w:pPr>
    </w:p>
    <w:p w:rsidR="00406BAD" w:rsidRPr="00406BAD" w:rsidRDefault="00406BAD" w:rsidP="00FC1114">
      <w:pPr>
        <w:ind w:left="-27"/>
        <w:jc w:val="both"/>
        <w:rPr>
          <w:bCs/>
          <w:iCs/>
          <w:sz w:val="22"/>
          <w:szCs w:val="22"/>
        </w:rPr>
      </w:pPr>
    </w:p>
    <w:p w:rsidR="00C8606A" w:rsidRPr="00406BAD" w:rsidRDefault="00C8606A" w:rsidP="00FC1114">
      <w:pPr>
        <w:ind w:left="-27"/>
        <w:jc w:val="both"/>
        <w:rPr>
          <w:bCs/>
          <w:iCs/>
          <w:sz w:val="22"/>
          <w:szCs w:val="22"/>
        </w:rPr>
      </w:pPr>
    </w:p>
    <w:p w:rsidR="004F18D1" w:rsidRPr="00406BAD" w:rsidRDefault="00C8606A" w:rsidP="00FC1114">
      <w:pPr>
        <w:jc w:val="both"/>
        <w:rPr>
          <w:bCs/>
          <w:iCs/>
          <w:sz w:val="22"/>
          <w:szCs w:val="22"/>
        </w:rPr>
      </w:pPr>
      <w:r w:rsidRPr="00406BAD">
        <w:rPr>
          <w:bCs/>
          <w:iCs/>
          <w:sz w:val="22"/>
          <w:szCs w:val="22"/>
        </w:rPr>
        <w:t xml:space="preserve">Dátum: </w:t>
      </w:r>
      <w:r w:rsidR="001013AB">
        <w:rPr>
          <w:bCs/>
          <w:iCs/>
          <w:sz w:val="22"/>
          <w:szCs w:val="22"/>
        </w:rPr>
        <w:t>2016</w:t>
      </w:r>
      <w:r w:rsidR="00BD42B6" w:rsidRPr="00406BAD">
        <w:rPr>
          <w:bCs/>
          <w:iCs/>
          <w:sz w:val="22"/>
          <w:szCs w:val="22"/>
        </w:rPr>
        <w:t>. január 27.</w:t>
      </w:r>
    </w:p>
    <w:p w:rsidR="00FC1114" w:rsidRDefault="00FC1114" w:rsidP="00FC1114">
      <w:pPr>
        <w:ind w:left="-27"/>
        <w:rPr>
          <w:rFonts w:ascii="Futura_PFL" w:hAnsi="Futura_PFL"/>
          <w:bCs/>
          <w:iCs/>
          <w:sz w:val="22"/>
          <w:szCs w:val="22"/>
        </w:rPr>
      </w:pPr>
    </w:p>
    <w:p w:rsidR="00406BAD" w:rsidRDefault="00406BAD" w:rsidP="00FC1114">
      <w:pPr>
        <w:ind w:left="-27"/>
        <w:rPr>
          <w:rFonts w:ascii="Futura_PFL" w:hAnsi="Futura_PFL"/>
          <w:bCs/>
          <w:iCs/>
          <w:sz w:val="22"/>
          <w:szCs w:val="22"/>
        </w:rPr>
      </w:pPr>
    </w:p>
    <w:p w:rsidR="00406BAD" w:rsidRDefault="00406BAD" w:rsidP="00FC1114">
      <w:pPr>
        <w:ind w:left="-27"/>
        <w:rPr>
          <w:rFonts w:ascii="Futura_PFL" w:hAnsi="Futura_PFL"/>
          <w:bCs/>
          <w:iCs/>
          <w:sz w:val="22"/>
          <w:szCs w:val="22"/>
        </w:rPr>
      </w:pPr>
    </w:p>
    <w:p w:rsidR="00406BAD" w:rsidRPr="00406BAD" w:rsidRDefault="00406BAD" w:rsidP="00FC1114">
      <w:pPr>
        <w:ind w:left="-27"/>
        <w:rPr>
          <w:rFonts w:ascii="Futura_PFL" w:hAnsi="Futura_PFL"/>
          <w:bCs/>
          <w:iCs/>
          <w:sz w:val="22"/>
          <w:szCs w:val="22"/>
        </w:rPr>
      </w:pPr>
    </w:p>
    <w:p w:rsidR="00FC1114" w:rsidRPr="00406BAD" w:rsidRDefault="00FC1114" w:rsidP="00FC1114">
      <w:pPr>
        <w:tabs>
          <w:tab w:val="left" w:pos="5220"/>
        </w:tabs>
        <w:ind w:left="27" w:right="186"/>
        <w:rPr>
          <w:bCs/>
          <w:iCs/>
          <w:sz w:val="22"/>
          <w:szCs w:val="22"/>
        </w:rPr>
      </w:pPr>
      <w:r w:rsidRPr="00406BAD">
        <w:rPr>
          <w:bCs/>
          <w:iCs/>
          <w:sz w:val="22"/>
          <w:szCs w:val="22"/>
        </w:rPr>
        <w:tab/>
        <w:t>_________________________</w:t>
      </w:r>
    </w:p>
    <w:p w:rsidR="00FC1114" w:rsidRPr="00406BAD" w:rsidRDefault="00FC1114" w:rsidP="00FC1114">
      <w:pPr>
        <w:tabs>
          <w:tab w:val="left" w:pos="5580"/>
        </w:tabs>
        <w:ind w:left="54"/>
        <w:rPr>
          <w:b/>
          <w:sz w:val="22"/>
          <w:szCs w:val="22"/>
        </w:rPr>
      </w:pPr>
      <w:r w:rsidRPr="00406BAD">
        <w:rPr>
          <w:sz w:val="22"/>
          <w:szCs w:val="22"/>
        </w:rPr>
        <w:tab/>
      </w:r>
      <w:r w:rsidRPr="00406BAD">
        <w:rPr>
          <w:b/>
          <w:sz w:val="22"/>
          <w:szCs w:val="22"/>
        </w:rPr>
        <w:t>Békéltető Testület elnöke</w:t>
      </w:r>
      <w:r w:rsidR="008C3CA3">
        <w:rPr>
          <w:b/>
          <w:sz w:val="22"/>
          <w:szCs w:val="22"/>
        </w:rPr>
        <w:t xml:space="preserve"> </w:t>
      </w:r>
    </w:p>
    <w:sectPr w:rsidR="00FC1114" w:rsidRPr="00406BAD" w:rsidSect="00BD42B6">
      <w:footerReference w:type="even" r:id="rId9"/>
      <w:footerReference w:type="default" r:id="rId10"/>
      <w:type w:val="continuous"/>
      <w:pgSz w:w="11906" w:h="16838" w:code="9"/>
      <w:pgMar w:top="567" w:right="1418" w:bottom="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2F" w:rsidRDefault="003D302F">
      <w:r>
        <w:separator/>
      </w:r>
    </w:p>
  </w:endnote>
  <w:endnote w:type="continuationSeparator" w:id="0">
    <w:p w:rsidR="003D302F" w:rsidRDefault="003D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_PFL">
    <w:altName w:val="Times New Roman"/>
    <w:charset w:val="EE"/>
    <w:family w:val="auto"/>
    <w:pitch w:val="variable"/>
    <w:sig w:usb0="8000002F" w:usb1="00002148" w:usb2="00000000" w:usb3="00000000" w:csb0="0000008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14" w:rsidRDefault="00214393" w:rsidP="0084604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C111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C1114" w:rsidRDefault="00FC1114" w:rsidP="00FC111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14" w:rsidRDefault="00214393" w:rsidP="0084604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C111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16B84">
      <w:rPr>
        <w:rStyle w:val="Oldalszm"/>
        <w:noProof/>
      </w:rPr>
      <w:t>2</w:t>
    </w:r>
    <w:r>
      <w:rPr>
        <w:rStyle w:val="Oldalszm"/>
      </w:rPr>
      <w:fldChar w:fldCharType="end"/>
    </w:r>
  </w:p>
  <w:p w:rsidR="00FC1114" w:rsidRDefault="00FC1114" w:rsidP="00FC1114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2F" w:rsidRDefault="003D302F">
      <w:r>
        <w:separator/>
      </w:r>
    </w:p>
  </w:footnote>
  <w:footnote w:type="continuationSeparator" w:id="0">
    <w:p w:rsidR="003D302F" w:rsidRDefault="003D3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54510"/>
    <w:multiLevelType w:val="hybridMultilevel"/>
    <w:tmpl w:val="92D098FA"/>
    <w:lvl w:ilvl="0" w:tplc="34C4A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3F60F3"/>
    <w:multiLevelType w:val="hybridMultilevel"/>
    <w:tmpl w:val="02C82B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F5603"/>
    <w:multiLevelType w:val="hybridMultilevel"/>
    <w:tmpl w:val="99942A1A"/>
    <w:lvl w:ilvl="0" w:tplc="2B12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7068CE"/>
    <w:multiLevelType w:val="hybridMultilevel"/>
    <w:tmpl w:val="26247DBE"/>
    <w:lvl w:ilvl="0" w:tplc="D4B8448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736D6A80"/>
    <w:multiLevelType w:val="hybridMultilevel"/>
    <w:tmpl w:val="1E38BE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057325"/>
    <w:multiLevelType w:val="hybridMultilevel"/>
    <w:tmpl w:val="796EF534"/>
    <w:lvl w:ilvl="0" w:tplc="227C3A2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82BD8"/>
    <w:multiLevelType w:val="multilevel"/>
    <w:tmpl w:val="53C405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14"/>
    <w:rsid w:val="0000158E"/>
    <w:rsid w:val="00021AB2"/>
    <w:rsid w:val="00097626"/>
    <w:rsid w:val="000B3BE2"/>
    <w:rsid w:val="000B7DB0"/>
    <w:rsid w:val="000B7F71"/>
    <w:rsid w:val="000D7637"/>
    <w:rsid w:val="000E0EAD"/>
    <w:rsid w:val="000F7A06"/>
    <w:rsid w:val="001013AB"/>
    <w:rsid w:val="001052BC"/>
    <w:rsid w:val="0011298A"/>
    <w:rsid w:val="00144E63"/>
    <w:rsid w:val="001452D4"/>
    <w:rsid w:val="00145BF8"/>
    <w:rsid w:val="00147371"/>
    <w:rsid w:val="00164083"/>
    <w:rsid w:val="00187FFC"/>
    <w:rsid w:val="001A5BAE"/>
    <w:rsid w:val="001C1A17"/>
    <w:rsid w:val="001E100E"/>
    <w:rsid w:val="00214393"/>
    <w:rsid w:val="00216B84"/>
    <w:rsid w:val="00235270"/>
    <w:rsid w:val="0025264C"/>
    <w:rsid w:val="002604CC"/>
    <w:rsid w:val="00263F47"/>
    <w:rsid w:val="002678A2"/>
    <w:rsid w:val="00280952"/>
    <w:rsid w:val="00294A93"/>
    <w:rsid w:val="002F63F0"/>
    <w:rsid w:val="003076FA"/>
    <w:rsid w:val="003265B3"/>
    <w:rsid w:val="00342655"/>
    <w:rsid w:val="00347F80"/>
    <w:rsid w:val="00372AD8"/>
    <w:rsid w:val="00381B58"/>
    <w:rsid w:val="0038758C"/>
    <w:rsid w:val="003948F6"/>
    <w:rsid w:val="00395D1C"/>
    <w:rsid w:val="003B1B74"/>
    <w:rsid w:val="003C24BD"/>
    <w:rsid w:val="003D302F"/>
    <w:rsid w:val="003E4AB4"/>
    <w:rsid w:val="003F4E8B"/>
    <w:rsid w:val="00406BAD"/>
    <w:rsid w:val="00425604"/>
    <w:rsid w:val="004269AE"/>
    <w:rsid w:val="00483DCA"/>
    <w:rsid w:val="00486EC0"/>
    <w:rsid w:val="004B5259"/>
    <w:rsid w:val="004C5902"/>
    <w:rsid w:val="004E2A58"/>
    <w:rsid w:val="004F00DC"/>
    <w:rsid w:val="004F18D1"/>
    <w:rsid w:val="005022C5"/>
    <w:rsid w:val="0051410D"/>
    <w:rsid w:val="00522E0E"/>
    <w:rsid w:val="00530012"/>
    <w:rsid w:val="0053729B"/>
    <w:rsid w:val="00542F72"/>
    <w:rsid w:val="00574C5D"/>
    <w:rsid w:val="005C3A09"/>
    <w:rsid w:val="005D5B8D"/>
    <w:rsid w:val="0062162A"/>
    <w:rsid w:val="00671028"/>
    <w:rsid w:val="00673E86"/>
    <w:rsid w:val="006C7923"/>
    <w:rsid w:val="006D3DF7"/>
    <w:rsid w:val="0071008E"/>
    <w:rsid w:val="00722660"/>
    <w:rsid w:val="007319FD"/>
    <w:rsid w:val="007542FC"/>
    <w:rsid w:val="00781C1D"/>
    <w:rsid w:val="007C0C48"/>
    <w:rsid w:val="007D5C90"/>
    <w:rsid w:val="007F0DAA"/>
    <w:rsid w:val="007F132A"/>
    <w:rsid w:val="007F5330"/>
    <w:rsid w:val="008063C0"/>
    <w:rsid w:val="00815F6E"/>
    <w:rsid w:val="00846043"/>
    <w:rsid w:val="008708AC"/>
    <w:rsid w:val="00880D6E"/>
    <w:rsid w:val="00891FFA"/>
    <w:rsid w:val="008C3CA3"/>
    <w:rsid w:val="008C6887"/>
    <w:rsid w:val="008F1DFA"/>
    <w:rsid w:val="009120F2"/>
    <w:rsid w:val="00952400"/>
    <w:rsid w:val="00953DC7"/>
    <w:rsid w:val="00957C65"/>
    <w:rsid w:val="009745C3"/>
    <w:rsid w:val="00A04D56"/>
    <w:rsid w:val="00A178E5"/>
    <w:rsid w:val="00A57CDF"/>
    <w:rsid w:val="00A75C3E"/>
    <w:rsid w:val="00A76BC4"/>
    <w:rsid w:val="00A856AD"/>
    <w:rsid w:val="00A90B1D"/>
    <w:rsid w:val="00AA61B8"/>
    <w:rsid w:val="00AC3A46"/>
    <w:rsid w:val="00B03B1D"/>
    <w:rsid w:val="00B04C95"/>
    <w:rsid w:val="00B04D20"/>
    <w:rsid w:val="00B142FD"/>
    <w:rsid w:val="00B14785"/>
    <w:rsid w:val="00B34381"/>
    <w:rsid w:val="00B347AF"/>
    <w:rsid w:val="00B41A2E"/>
    <w:rsid w:val="00B466F0"/>
    <w:rsid w:val="00B636DE"/>
    <w:rsid w:val="00B85265"/>
    <w:rsid w:val="00BB3D65"/>
    <w:rsid w:val="00BC3235"/>
    <w:rsid w:val="00BD42B6"/>
    <w:rsid w:val="00BD79A7"/>
    <w:rsid w:val="00BE3FB2"/>
    <w:rsid w:val="00C02488"/>
    <w:rsid w:val="00C33EA0"/>
    <w:rsid w:val="00C40C09"/>
    <w:rsid w:val="00C61C4E"/>
    <w:rsid w:val="00C75EAB"/>
    <w:rsid w:val="00C82959"/>
    <w:rsid w:val="00C8606A"/>
    <w:rsid w:val="00C93723"/>
    <w:rsid w:val="00CD53AB"/>
    <w:rsid w:val="00D2293A"/>
    <w:rsid w:val="00D4090F"/>
    <w:rsid w:val="00D62737"/>
    <w:rsid w:val="00D663F4"/>
    <w:rsid w:val="00E06FD5"/>
    <w:rsid w:val="00E451CF"/>
    <w:rsid w:val="00E56CD2"/>
    <w:rsid w:val="00E73817"/>
    <w:rsid w:val="00E84278"/>
    <w:rsid w:val="00EF38EC"/>
    <w:rsid w:val="00F03B80"/>
    <w:rsid w:val="00F25B8B"/>
    <w:rsid w:val="00F53C33"/>
    <w:rsid w:val="00F81173"/>
    <w:rsid w:val="00F8251F"/>
    <w:rsid w:val="00F93030"/>
    <w:rsid w:val="00F970C1"/>
    <w:rsid w:val="00FC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C1114"/>
    <w:rPr>
      <w:sz w:val="24"/>
    </w:rPr>
  </w:style>
  <w:style w:type="paragraph" w:styleId="Cmsor9">
    <w:name w:val="heading 9"/>
    <w:basedOn w:val="Norml"/>
    <w:next w:val="Norml"/>
    <w:qFormat/>
    <w:rsid w:val="00FC1114"/>
    <w:pPr>
      <w:keepNext/>
      <w:jc w:val="center"/>
      <w:outlineLvl w:val="8"/>
    </w:pPr>
    <w:rPr>
      <w:b/>
      <w:sz w:val="4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FC1114"/>
    <w:rPr>
      <w:i/>
      <w:sz w:val="20"/>
    </w:rPr>
  </w:style>
  <w:style w:type="paragraph" w:styleId="llb">
    <w:name w:val="footer"/>
    <w:basedOn w:val="Norml"/>
    <w:rsid w:val="00FC1114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FC1114"/>
    <w:pPr>
      <w:spacing w:after="120"/>
      <w:ind w:left="283"/>
    </w:pPr>
  </w:style>
  <w:style w:type="character" w:styleId="Oldalszm">
    <w:name w:val="page number"/>
    <w:basedOn w:val="Bekezdsalapbettpusa"/>
    <w:rsid w:val="00FC1114"/>
  </w:style>
  <w:style w:type="table" w:styleId="Rcsostblzat">
    <w:name w:val="Table Grid"/>
    <w:basedOn w:val="Normltblzat"/>
    <w:rsid w:val="00D66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rsid w:val="00C8606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8606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BD42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D42B6"/>
    <w:rPr>
      <w:sz w:val="24"/>
    </w:rPr>
  </w:style>
  <w:style w:type="paragraph" w:styleId="Listaszerbekezds">
    <w:name w:val="List Paragraph"/>
    <w:basedOn w:val="Norml"/>
    <w:uiPriority w:val="34"/>
    <w:qFormat/>
    <w:rsid w:val="00101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C1114"/>
    <w:rPr>
      <w:sz w:val="24"/>
    </w:rPr>
  </w:style>
  <w:style w:type="paragraph" w:styleId="Cmsor9">
    <w:name w:val="heading 9"/>
    <w:basedOn w:val="Norml"/>
    <w:next w:val="Norml"/>
    <w:qFormat/>
    <w:rsid w:val="00FC1114"/>
    <w:pPr>
      <w:keepNext/>
      <w:jc w:val="center"/>
      <w:outlineLvl w:val="8"/>
    </w:pPr>
    <w:rPr>
      <w:b/>
      <w:sz w:val="4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FC1114"/>
    <w:rPr>
      <w:i/>
      <w:sz w:val="20"/>
    </w:rPr>
  </w:style>
  <w:style w:type="paragraph" w:styleId="llb">
    <w:name w:val="footer"/>
    <w:basedOn w:val="Norml"/>
    <w:rsid w:val="00FC1114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FC1114"/>
    <w:pPr>
      <w:spacing w:after="120"/>
      <w:ind w:left="283"/>
    </w:pPr>
  </w:style>
  <w:style w:type="character" w:styleId="Oldalszm">
    <w:name w:val="page number"/>
    <w:basedOn w:val="Bekezdsalapbettpusa"/>
    <w:rsid w:val="00FC1114"/>
  </w:style>
  <w:style w:type="table" w:styleId="Rcsostblzat">
    <w:name w:val="Table Grid"/>
    <w:basedOn w:val="Normltblzat"/>
    <w:rsid w:val="00D66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rsid w:val="00C8606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8606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BD42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D42B6"/>
    <w:rPr>
      <w:sz w:val="24"/>
    </w:rPr>
  </w:style>
  <w:style w:type="paragraph" w:styleId="Listaszerbekezds">
    <w:name w:val="List Paragraph"/>
    <w:basedOn w:val="Norml"/>
    <w:uiPriority w:val="34"/>
    <w:qFormat/>
    <w:rsid w:val="00101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B2F0-878C-4B1D-AB4F-26359E4F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2105</Words>
  <Characters>14530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Kedvezményezett szervezet neve (támogatási szerződés szerint):</vt:lpstr>
    </vt:vector>
  </TitlesOfParts>
  <Company>PTE-IGYFK</Company>
  <LinksUpToDate>false</LinksUpToDate>
  <CharactersWithSpaces>16602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Kedvezményezett szervezet neve (támogatási szerződés szerint):</dc:title>
  <dc:creator>felh111</dc:creator>
  <cp:lastModifiedBy>Somogyi Laura</cp:lastModifiedBy>
  <cp:revision>2</cp:revision>
  <cp:lastPrinted>2016-02-02T07:34:00Z</cp:lastPrinted>
  <dcterms:created xsi:type="dcterms:W3CDTF">2016-07-14T15:05:00Z</dcterms:created>
  <dcterms:modified xsi:type="dcterms:W3CDTF">2016-07-14T15:05:00Z</dcterms:modified>
</cp:coreProperties>
</file>