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D88" w:rsidRDefault="002B5D88">
      <w:pPr>
        <w:ind w:right="709"/>
        <w:jc w:val="center"/>
        <w:rPr>
          <w:lang w:eastAsia="hu-HU"/>
        </w:rPr>
      </w:pPr>
      <w:bookmarkStart w:id="0" w:name="_GoBack"/>
      <w:bookmarkEnd w:id="0"/>
    </w:p>
    <w:p w:rsidR="002B5D88" w:rsidRDefault="002B5D88">
      <w:pPr>
        <w:ind w:right="709"/>
        <w:jc w:val="center"/>
        <w:rPr>
          <w:lang w:eastAsia="hu-HU"/>
        </w:rPr>
      </w:pPr>
    </w:p>
    <w:p w:rsidR="002B5D88" w:rsidRDefault="00861375">
      <w:pPr>
        <w:ind w:right="709"/>
        <w:jc w:val="center"/>
        <w:rPr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-199390</wp:posOffset>
                </wp:positionV>
                <wp:extent cx="6170930" cy="966470"/>
                <wp:effectExtent l="1270" t="635" r="0" b="444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093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D88" w:rsidRDefault="002B5D88">
                            <w:pPr>
                              <w:jc w:val="center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2B5D88" w:rsidRDefault="002B5D8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Pécs-Baranyai Kereskedelmi és Iparkamara mellett működő</w:t>
                            </w:r>
                          </w:p>
                          <w:p w:rsidR="002B5D88" w:rsidRDefault="002B5D8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BARANYA MEGYEI BÉKÉLTETŐ TESTÜLET</w:t>
                            </w:r>
                          </w:p>
                          <w:p w:rsidR="002B5D88" w:rsidRDefault="002B5D88">
                            <w:pPr>
                              <w:jc w:val="center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2B5D88" w:rsidRDefault="002B5D88">
                            <w:pPr>
                              <w:jc w:val="center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2B5D88" w:rsidRDefault="002B5D8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7625 Pécs, Majorossy I. út 36., Tel.: 72/507-154, 20/283-3422, fax: 72/507-152</w:t>
                            </w:r>
                          </w:p>
                          <w:p w:rsidR="002B5D88" w:rsidRDefault="002B5D88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e-mail: </w:t>
                            </w:r>
                            <w:hyperlink r:id="rId8">
                              <w:r>
                                <w:rPr>
                                  <w:rStyle w:val="Internet-hivatkozs"/>
                                  <w:sz w:val="22"/>
                                  <w:szCs w:val="22"/>
                                </w:rPr>
                                <w:t>info@baranyabekeltetes.hu</w:t>
                              </w:r>
                            </w:hyperlink>
                            <w:r>
                              <w:rPr>
                                <w:sz w:val="22"/>
                                <w:szCs w:val="22"/>
                              </w:rPr>
                              <w:t xml:space="preserve"> web: </w:t>
                            </w:r>
                            <w:hyperlink r:id="rId9">
                              <w:r>
                                <w:rPr>
                                  <w:rStyle w:val="Internet-hivatkozs"/>
                                  <w:sz w:val="22"/>
                                  <w:szCs w:val="22"/>
                                </w:rPr>
                                <w:t>www.pbkik.hu</w:t>
                              </w:r>
                            </w:hyperlink>
                            <w:r>
                              <w:rPr>
                                <w:sz w:val="22"/>
                                <w:szCs w:val="22"/>
                              </w:rPr>
                              <w:t xml:space="preserve"> , </w:t>
                            </w:r>
                            <w:hyperlink r:id="rId10">
                              <w:r>
                                <w:rPr>
                                  <w:rStyle w:val="Internet-hivatkozs"/>
                                  <w:sz w:val="22"/>
                                  <w:szCs w:val="22"/>
                                </w:rPr>
                                <w:t>www.baranyabekeltetes.hu</w:t>
                              </w:r>
                            </w:hyperlink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2B5D88" w:rsidRDefault="002B5D88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0.85pt;margin-top:-15.7pt;width:485.9pt;height:76.1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" stroked="f">
                <v:textbox inset=".05pt,.05pt,.05pt,.05pt">
                  <w:txbxContent>
                    <w:p w:rsidR="002B5D88" w:rsidRDefault="002B5D88">
                      <w:pPr>
                        <w:jc w:val="center"/>
                        <w:rPr>
                          <w:b/>
                          <w:sz w:val="4"/>
                          <w:szCs w:val="4"/>
                        </w:rPr>
                      </w:pPr>
                    </w:p>
                    <w:p w:rsidR="002B5D88" w:rsidRDefault="002B5D8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Pécs-Baranyai Kereskedelmi és Iparkamara mellett működő</w:t>
                      </w:r>
                    </w:p>
                    <w:p w:rsidR="002B5D88" w:rsidRDefault="002B5D8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BARANYA MEGYEI BÉKÉLTETŐ TESTÜLET</w:t>
                      </w:r>
                    </w:p>
                    <w:p w:rsidR="002B5D88" w:rsidRDefault="002B5D88">
                      <w:pPr>
                        <w:jc w:val="center"/>
                        <w:rPr>
                          <w:b/>
                          <w:sz w:val="4"/>
                          <w:szCs w:val="4"/>
                        </w:rPr>
                      </w:pPr>
                    </w:p>
                    <w:p w:rsidR="002B5D88" w:rsidRDefault="002B5D88">
                      <w:pPr>
                        <w:jc w:val="center"/>
                        <w:rPr>
                          <w:b/>
                          <w:sz w:val="4"/>
                          <w:szCs w:val="4"/>
                        </w:rPr>
                      </w:pPr>
                    </w:p>
                    <w:p w:rsidR="002B5D88" w:rsidRDefault="002B5D8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7625 Pécs, Majorossy I. út 36., Tel.: 72/507-154, 20/283-3422, fax: 72/507-152</w:t>
                      </w:r>
                    </w:p>
                    <w:p w:rsidR="002B5D88" w:rsidRDefault="002B5D88">
                      <w:pPr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t xml:space="preserve">e-mail: </w:t>
                      </w:r>
                      <w:hyperlink r:id="rId11">
                        <w:r>
                          <w:rPr>
                            <w:rStyle w:val="Internet-hivatkozs"/>
                            <w:sz w:val="22"/>
                            <w:szCs w:val="22"/>
                          </w:rPr>
                          <w:t>info@baranyabekeltetes.hu</w:t>
                        </w:r>
                      </w:hyperlink>
                      <w:r>
                        <w:rPr>
                          <w:sz w:val="22"/>
                          <w:szCs w:val="22"/>
                        </w:rPr>
                        <w:t xml:space="preserve"> web: </w:t>
                      </w:r>
                      <w:hyperlink r:id="rId12">
                        <w:r>
                          <w:rPr>
                            <w:rStyle w:val="Internet-hivatkozs"/>
                            <w:sz w:val="22"/>
                            <w:szCs w:val="22"/>
                          </w:rPr>
                          <w:t>www.pbkik.hu</w:t>
                        </w:r>
                      </w:hyperlink>
                      <w:r>
                        <w:rPr>
                          <w:sz w:val="22"/>
                          <w:szCs w:val="22"/>
                        </w:rPr>
                        <w:t xml:space="preserve"> , </w:t>
                      </w:r>
                      <w:hyperlink r:id="rId13">
                        <w:r>
                          <w:rPr>
                            <w:rStyle w:val="Internet-hivatkozs"/>
                            <w:sz w:val="22"/>
                            <w:szCs w:val="22"/>
                          </w:rPr>
                          <w:t>www.baranyabekeltetes.hu</w:t>
                        </w:r>
                      </w:hyperlink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</w:p>
                    <w:p w:rsidR="002B5D88" w:rsidRDefault="002B5D88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B5D88" w:rsidRDefault="00861375">
      <w:pPr>
        <w:ind w:right="709"/>
        <w:jc w:val="center"/>
        <w:rPr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-408305</wp:posOffset>
                </wp:positionH>
                <wp:positionV relativeFrom="paragraph">
                  <wp:posOffset>-474345</wp:posOffset>
                </wp:positionV>
                <wp:extent cx="936625" cy="979170"/>
                <wp:effectExtent l="1270" t="1905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6625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D88" w:rsidRDefault="00861375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922655" cy="972820"/>
                                  <wp:effectExtent l="0" t="0" r="0" b="0"/>
                                  <wp:docPr id="2" name="Kép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655" cy="972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32.15pt;margin-top:-37.35pt;width:73.75pt;height:77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" stroked="f">
                <v:textbox inset=".05pt,.05pt,.05pt,.05pt">
                  <w:txbxContent>
                    <w:p w:rsidR="002B5D88" w:rsidRDefault="00861375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922655" cy="972820"/>
                            <wp:effectExtent l="0" t="0" r="0" b="0"/>
                            <wp:docPr id="2" name="Kép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655" cy="972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2B5D88" w:rsidRDefault="002B5D88">
      <w:pPr>
        <w:ind w:right="709"/>
        <w:jc w:val="center"/>
        <w:rPr>
          <w:lang w:eastAsia="hu-HU"/>
        </w:rPr>
      </w:pPr>
    </w:p>
    <w:p w:rsidR="002B5D88" w:rsidRDefault="002B5D88">
      <w:pPr>
        <w:ind w:right="709"/>
        <w:jc w:val="center"/>
        <w:rPr>
          <w:lang w:eastAsia="hu-HU"/>
        </w:rPr>
      </w:pPr>
    </w:p>
    <w:p w:rsidR="002B5D88" w:rsidRDefault="002B5D88">
      <w:pPr>
        <w:ind w:right="709"/>
        <w:jc w:val="center"/>
      </w:pPr>
    </w:p>
    <w:p w:rsidR="002B5D88" w:rsidRDefault="002B5D88">
      <w:pPr>
        <w:ind w:right="709"/>
        <w:jc w:val="center"/>
      </w:pPr>
    </w:p>
    <w:p w:rsidR="002B5D88" w:rsidRDefault="002B5D88">
      <w:pPr>
        <w:ind w:right="709"/>
        <w:jc w:val="both"/>
      </w:pPr>
    </w:p>
    <w:p w:rsidR="002B5D88" w:rsidRDefault="00861375">
      <w:pPr>
        <w:ind w:right="709"/>
        <w:jc w:val="both"/>
        <w:rPr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12065</wp:posOffset>
                </wp:positionV>
                <wp:extent cx="3465830" cy="1270635"/>
                <wp:effectExtent l="0" t="2540" r="1905" b="317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5830" cy="1270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D88" w:rsidRDefault="002B5D8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Nemzeti Fejlesztési  Minisztérium</w:t>
                            </w:r>
                          </w:p>
                          <w:p w:rsidR="002B5D88" w:rsidRDefault="002B5D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1011 Budapest, Fő utca 44-50.</w:t>
                            </w:r>
                          </w:p>
                          <w:p w:rsidR="002B5D88" w:rsidRDefault="002B5D8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2B5D88" w:rsidRDefault="002B5D8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Dr. Seszták Miklós Nemzeti Fejlesztési Miniszter Úr részére</w: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.7pt;margin-top:.95pt;width:272.9pt;height:10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" stroked="f">
                <v:textbox inset=".05pt,.05pt,.05pt,.05pt">
                  <w:txbxContent>
                    <w:p w:rsidR="002B5D88" w:rsidRDefault="002B5D8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Nemzeti Fejlesztési  Minisztérium</w:t>
                      </w:r>
                    </w:p>
                    <w:p w:rsidR="002B5D88" w:rsidRDefault="002B5D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1011 Budapest, Fő utca 44-50.</w:t>
                      </w:r>
                    </w:p>
                    <w:p w:rsidR="002B5D88" w:rsidRDefault="002B5D88">
                      <w:pPr>
                        <w:rPr>
                          <w:b/>
                          <w:bCs/>
                        </w:rPr>
                      </w:pPr>
                    </w:p>
                    <w:p w:rsidR="002B5D88" w:rsidRDefault="002B5D8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Dr. Seszták Miklós Nemzeti Fejlesztési Miniszter Úr részére</w:t>
                      </w:r>
                    </w:p>
                  </w:txbxContent>
                </v:textbox>
              </v:rect>
            </w:pict>
          </mc:Fallback>
        </mc:AlternateContent>
      </w:r>
    </w:p>
    <w:p w:rsidR="002B5D88" w:rsidRDefault="002B5D88">
      <w:pPr>
        <w:ind w:right="709"/>
        <w:jc w:val="both"/>
        <w:rPr>
          <w:lang w:eastAsia="hu-HU"/>
        </w:rPr>
      </w:pPr>
    </w:p>
    <w:p w:rsidR="002B5D88" w:rsidRDefault="002B5D88">
      <w:pPr>
        <w:ind w:right="709"/>
        <w:jc w:val="both"/>
        <w:rPr>
          <w:lang w:eastAsia="hu-HU"/>
        </w:rPr>
      </w:pPr>
    </w:p>
    <w:p w:rsidR="002B5D88" w:rsidRDefault="002B5D88">
      <w:pPr>
        <w:ind w:right="709"/>
        <w:jc w:val="both"/>
      </w:pPr>
    </w:p>
    <w:p w:rsidR="002B5D88" w:rsidRDefault="002B5D88">
      <w:pPr>
        <w:ind w:right="709"/>
        <w:jc w:val="both"/>
      </w:pPr>
    </w:p>
    <w:p w:rsidR="002B5D88" w:rsidRDefault="002B5D88">
      <w:pPr>
        <w:ind w:right="709"/>
        <w:jc w:val="both"/>
      </w:pPr>
    </w:p>
    <w:p w:rsidR="002B5D88" w:rsidRDefault="00861375">
      <w:pPr>
        <w:ind w:right="709"/>
        <w:jc w:val="both"/>
      </w:pPr>
      <w:r>
        <w:rPr>
          <w:noProof/>
          <w:lang w:eastAsia="hu-H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71120</wp:posOffset>
                </wp:positionV>
                <wp:extent cx="4639945" cy="436880"/>
                <wp:effectExtent l="4445" t="4445" r="381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994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D88" w:rsidRDefault="002B5D88">
                            <w:pPr>
                              <w:tabs>
                                <w:tab w:val="left" w:pos="1134"/>
                              </w:tabs>
                              <w:ind w:left="1134" w:hanging="1134"/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T á r g y: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Összefoglaló tájékoztató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a Baranya Megyei  Békéltető Testület 2015. évi tevékenységéről</w: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-.4pt;margin-top:5.6pt;width:365.35pt;height:34.4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" stroked="f">
                <v:textbox inset=".05pt,.05pt,.05pt,.05pt">
                  <w:txbxContent>
                    <w:p w:rsidR="002B5D88" w:rsidRDefault="002B5D88">
                      <w:pPr>
                        <w:tabs>
                          <w:tab w:val="left" w:pos="1134"/>
                        </w:tabs>
                        <w:ind w:left="1134" w:hanging="1134"/>
                      </w:pPr>
                      <w:r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T á r g y: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ab/>
                        <w:t xml:space="preserve">Összefoglaló tájékoztató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ab/>
                        <w:t>a Baranya Megyei  Békéltető Testület 2015. évi tevékenységéről</w:t>
                      </w:r>
                    </w:p>
                  </w:txbxContent>
                </v:textbox>
              </v:rect>
            </w:pict>
          </mc:Fallback>
        </mc:AlternateContent>
      </w:r>
    </w:p>
    <w:p w:rsidR="002B5D88" w:rsidRDefault="002B5D88">
      <w:pPr>
        <w:ind w:right="709"/>
        <w:jc w:val="both"/>
      </w:pPr>
    </w:p>
    <w:p w:rsidR="002B5D88" w:rsidRDefault="002B5D88">
      <w:pPr>
        <w:ind w:right="709"/>
        <w:jc w:val="both"/>
      </w:pPr>
    </w:p>
    <w:p w:rsidR="002B5D88" w:rsidRDefault="002B5D88">
      <w:pPr>
        <w:ind w:right="709"/>
        <w:jc w:val="both"/>
      </w:pPr>
    </w:p>
    <w:p w:rsidR="002B5D88" w:rsidRDefault="002B5D88">
      <w:pPr>
        <w:ind w:right="709"/>
        <w:jc w:val="both"/>
      </w:pPr>
    </w:p>
    <w:p w:rsidR="002B5D88" w:rsidRDefault="002B5D88">
      <w:pPr>
        <w:ind w:right="709"/>
        <w:jc w:val="both"/>
      </w:pPr>
      <w:r>
        <w:t>Tisztelt Miniszter Úr!</w:t>
      </w:r>
    </w:p>
    <w:p w:rsidR="002B5D88" w:rsidRDefault="002B5D88">
      <w:pPr>
        <w:ind w:right="709"/>
        <w:jc w:val="both"/>
      </w:pPr>
    </w:p>
    <w:p w:rsidR="002B5D88" w:rsidRDefault="002B5D88">
      <w:pPr>
        <w:ind w:right="709"/>
        <w:jc w:val="both"/>
      </w:pPr>
    </w:p>
    <w:p w:rsidR="002B5D88" w:rsidRDefault="002B5D88">
      <w:pPr>
        <w:tabs>
          <w:tab w:val="left" w:pos="9498"/>
        </w:tabs>
        <w:jc w:val="both"/>
      </w:pPr>
      <w:r>
        <w:t>A fogyasztóvédelemről szóló 1997. évi CLV. törvény 36/A. § (1)-(2) bekezdése alapján az alábbiakban tájékoztatjuk a Pécs-Baranyai Kereskedelmi és Iparkamara mellett működő Baranya Megyei Békéltető Testület 2015. évi tevékenységéről:</w:t>
      </w:r>
    </w:p>
    <w:p w:rsidR="002B5D88" w:rsidRDefault="002B5D88">
      <w:pPr>
        <w:ind w:right="709"/>
        <w:jc w:val="both"/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/>
          <w:bCs/>
          <w:iCs/>
        </w:rPr>
      </w:pPr>
      <w:r>
        <w:rPr>
          <w:b/>
          <w:bCs/>
          <w:iCs/>
        </w:rPr>
        <w:t>I. TESTÜLETI INFORMÁCIÓK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 békéltető testület tagjainak a mandátuma 2015. 12. 31. nappal lejárt, az új testület megalakítására, az elnökének a megválasztására 2016. 01. 05-én került sor. A Testület létszáma a korábbi 30 főről 24 főre csökkent. A tagok többsége jogász végzettségű, ezen felül 3  mérnök, 2 közgazdász vesz részt a munkában.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 Testület nem szerepel az Európai Bizottságnak a békéltető testületekről vezetett jegyzékben.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</w:pPr>
    </w:p>
    <w:p w:rsidR="002B5D88" w:rsidRDefault="002B5D88">
      <w:pPr>
        <w:tabs>
          <w:tab w:val="left" w:pos="10602"/>
        </w:tabs>
        <w:ind w:right="882"/>
        <w:jc w:val="both"/>
        <w:rPr>
          <w:b/>
          <w:bCs/>
          <w:iCs/>
        </w:rPr>
      </w:pPr>
      <w:r>
        <w:rPr>
          <w:b/>
          <w:bCs/>
          <w:iCs/>
        </w:rPr>
        <w:t xml:space="preserve">II. FINANSZÍROZÁS </w:t>
      </w:r>
    </w:p>
    <w:p w:rsidR="002B5D88" w:rsidRDefault="002B5D88">
      <w:pPr>
        <w:tabs>
          <w:tab w:val="left" w:pos="10602"/>
        </w:tabs>
        <w:ind w:right="882"/>
        <w:jc w:val="both"/>
        <w:rPr>
          <w:bCs/>
          <w:iCs/>
        </w:rPr>
      </w:pP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  <w:r>
        <w:rPr>
          <w:bCs/>
          <w:iCs/>
        </w:rPr>
        <w:t>A finanszírozás kérdése – a korábbi jelzéseink ellenére –  továbbra is gondot jelent a megfelelő, hatékony működés tekintetében.</w:t>
      </w: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  <w:r>
        <w:rPr>
          <w:bCs/>
          <w:iCs/>
        </w:rPr>
        <w:t>A 2015. évben a teljes támogatás egy összegben, 2015. augusztus 24-én megérkezett. Az egy összegben történő kiutalás némi előrelépést mutat, de a teljesítési idő tekintetében továbbra is javasoljuk, hogy a támogatást az adott év január 1-jétől – előlegként és folyamatosan – folyósítsák a működtető kamaráknak, hiszen a testület éves működése is január 1-jétől kezdődik és december 31-éig tart.</w:t>
      </w: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  <w:r>
        <w:rPr>
          <w:bCs/>
          <w:iCs/>
        </w:rPr>
        <w:t xml:space="preserve">Korábban már jeleztük, hogy a Testület tényleges működési költsége meghaladja a </w:t>
      </w:r>
      <w:smartTag w:uri="urn:schemas-microsoft-com:office:smarttags" w:element="metricconverter">
        <w:smartTagPr>
          <w:attr w:name="ProductID" w:val="19 M"/>
        </w:smartTagPr>
        <w:r>
          <w:rPr>
            <w:bCs/>
            <w:iCs/>
          </w:rPr>
          <w:t>19 M</w:t>
        </w:r>
      </w:smartTag>
      <w:r>
        <w:rPr>
          <w:bCs/>
          <w:iCs/>
        </w:rPr>
        <w:t xml:space="preserve"> Ft-ot, amely a növekvő ügyszámmal arányosan növekszik. Az Fgytv. által meghatározott ügyszámarányosan felosztott támogatás alapján 2015-ben 12.650.431,- Ft-ot utaltak a működtető kamaránknak, amely 2015-ben is jelentős működtetési nehézségeket okozott:</w:t>
      </w: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</w:p>
    <w:p w:rsidR="002B5D88" w:rsidRDefault="002B5D88">
      <w:pPr>
        <w:numPr>
          <w:ilvl w:val="0"/>
          <w:numId w:val="2"/>
        </w:num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lastRenderedPageBreak/>
        <w:t xml:space="preserve">A 2014. évről 94 ügy húzódott át 2015-re, amelyhez 2015. évben 393 új beadvány érkezett. 2015-ben </w:t>
      </w:r>
      <w:r>
        <w:rPr>
          <w:iCs/>
        </w:rPr>
        <w:t>a Testület a</w:t>
      </w:r>
      <w:r>
        <w:rPr>
          <w:bCs/>
          <w:iCs/>
        </w:rPr>
        <w:t xml:space="preserve"> 487 ügyből </w:t>
      </w:r>
      <w:r>
        <w:rPr>
          <w:iCs/>
        </w:rPr>
        <w:t>395 ügyet tudott lezárni, de ebben az évben is 92 ügy került át a 2016. évre, ami igen jelentős szám.  Ennek az oka az, hogy a növekő ügyszám mellett az adminisztratív terhek is nőnek, amelynek az elvégzéséhez a kapott támogatás nem nyújt fedezetet.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numPr>
          <w:ilvl w:val="0"/>
          <w:numId w:val="2"/>
        </w:num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2015-ben 5 %-os mértékű kötelező promóciós tevékenység végzését írták elő, amely az esetünkben 632.522,- Ft-ot tett ki. Ez az összeg aránytalanul magas a kapott támogatáshoz képest. A jelenlegi költségvetési helyzetben javasoljuk, hogy a jövőben ne legyen kötelező a promóciós tevékenység a kamarák számára. Ezt a feladatot a Magyar Kereskedelmi és Iparkamara (MKIK) lássa el a Minisztériummal kötött közreműködői szerződés keretében. Miután a vállalkozásoknak a fogyasztói panaszok intézése során kötelezően tájékoztatniuk kell a fogyasztót a békéltető testületekhez fordulás lehetőségéről, a testületek népszerűsítését ezért sem tartjuk indokoltnak.</w:t>
      </w: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</w:p>
    <w:p w:rsidR="002B5D88" w:rsidRDefault="002B5D88">
      <w:pPr>
        <w:numPr>
          <w:ilvl w:val="0"/>
          <w:numId w:val="2"/>
        </w:num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 xml:space="preserve">Az MKIK gondozásában áll a békéltető testületek által közösen működtetett </w:t>
      </w:r>
      <w:hyperlink r:id="rId15">
        <w:r>
          <w:rPr>
            <w:rStyle w:val="Internet-hivatkozs"/>
            <w:bCs/>
            <w:iCs/>
          </w:rPr>
          <w:t>www.bekeltetes.hu</w:t>
        </w:r>
      </w:hyperlink>
      <w:r>
        <w:rPr>
          <w:bCs/>
          <w:iCs/>
        </w:rPr>
        <w:t xml:space="preserve"> weboldal. Ezen a weboldalon minden testület elérhetősége, testületi információja, tájékoztatója megtalálható és ezen a weboldalon keresztül kell a kamaráknak az eljárásoktól a szakmai és pénzügyi beszámolókig minden információt megadni és adatokat feltölteni. 2015-ben törvényileg előírták, hogy minden egyes békéltető testület önálló honlapot hozzon létre ill. működtessen. Ezt az előírást megint csak indokolatlannak értékeltük a fennálló pénzügyi helyzetben, hiszen ez is kihatással volt a feladat megfelelő végzéséhez.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numPr>
          <w:ilvl w:val="0"/>
          <w:numId w:val="2"/>
        </w:numPr>
        <w:tabs>
          <w:tab w:val="left" w:pos="10602"/>
        </w:tabs>
        <w:jc w:val="both"/>
        <w:rPr>
          <w:bCs/>
          <w:iCs/>
        </w:rPr>
      </w:pPr>
      <w:r>
        <w:rPr>
          <w:bCs/>
          <w:iCs/>
        </w:rPr>
        <w:t>A működés biztosítása érdekében 2015-ben az előírt három fős tanácsok helyett újra egyszemélyes tanácsokkal kellett az ügyeket letárgyalnunk, amely sérti a fogyasztói jogokat abban, hogy élhessenek az Fgytv. által biztosított testületi tagok kijelölésének a lehetőségével az eljárások során.</w:t>
      </w: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10602"/>
        </w:tabs>
        <w:jc w:val="both"/>
      </w:pPr>
      <w:r>
        <w:rPr>
          <w:iCs/>
          <w:u w:val="single"/>
        </w:rPr>
        <w:t>A fenti indokainkra tekintettel a finanszírozás átdolgozását javasoljuk, amelyhez az alábbi javaslatainkat terjesztjük elő:</w:t>
      </w:r>
    </w:p>
    <w:p w:rsidR="002B5D88" w:rsidRDefault="002B5D88">
      <w:pPr>
        <w:tabs>
          <w:tab w:val="left" w:pos="10602"/>
        </w:tabs>
        <w:jc w:val="both"/>
        <w:rPr>
          <w:iCs/>
          <w:u w:val="single"/>
        </w:rPr>
      </w:pPr>
    </w:p>
    <w:p w:rsidR="002B5D88" w:rsidRDefault="002B5D88">
      <w:pPr>
        <w:tabs>
          <w:tab w:val="left" w:pos="10602"/>
        </w:tabs>
        <w:jc w:val="both"/>
      </w:pPr>
      <w:r>
        <w:rPr>
          <w:b/>
          <w:bCs/>
          <w:iCs/>
        </w:rPr>
        <w:t>A valós költségek alapján kerüljön megállapításra az egy ügyre vonatkozó (minimum) díj, és ez az összeg legyen a támogatás alapja, ne pedig az országos lezárt ügyszám alapján kerüljön a támogatás szétosztásra.</w:t>
      </w:r>
    </w:p>
    <w:p w:rsidR="002B5D88" w:rsidRDefault="002B5D88">
      <w:pPr>
        <w:tabs>
          <w:tab w:val="left" w:pos="10602"/>
        </w:tabs>
        <w:jc w:val="both"/>
        <w:rPr>
          <w:b/>
          <w:bCs/>
          <w:iCs/>
        </w:rPr>
      </w:pP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  <w:r>
        <w:rPr>
          <w:bCs/>
          <w:iCs/>
        </w:rPr>
        <w:t>Többletforrások feltárásához javasoljuk:</w:t>
      </w: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</w:p>
    <w:p w:rsidR="002B5D88" w:rsidRDefault="002B5D88">
      <w:pPr>
        <w:numPr>
          <w:ilvl w:val="0"/>
          <w:numId w:val="3"/>
        </w:numPr>
        <w:tabs>
          <w:tab w:val="left" w:pos="10602"/>
        </w:tabs>
        <w:jc w:val="both"/>
      </w:pPr>
      <w:r>
        <w:rPr>
          <w:bCs/>
          <w:iCs/>
        </w:rPr>
        <w:t>A 2015. szeptember 11-től hatályos fogyasztóvédelmi rendelkezések szerint minimum 15 E Ft bírság kiszabására kerül sor a békéltető testületi eljárásban fennálló együttműködési kötelezettségét megszegő vállalkozásnak. Miután ez a bírság a békéltető eljárásokhoz kapcsolódik, ezért javasoljuk, hogy a befolyt bírság egy részét a békéltető testületek részére csoportosítsák át.</w:t>
      </w: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</w:p>
    <w:p w:rsidR="002B5D88" w:rsidRDefault="002B5D88">
      <w:pPr>
        <w:numPr>
          <w:ilvl w:val="0"/>
          <w:numId w:val="3"/>
        </w:numPr>
        <w:tabs>
          <w:tab w:val="left" w:pos="10602"/>
        </w:tabs>
        <w:jc w:val="both"/>
      </w:pPr>
      <w:r>
        <w:rPr>
          <w:bCs/>
          <w:iCs/>
        </w:rPr>
        <w:t>A jelenlegi finanszírozási helyzetben minimális eljárási díj bevezetését is javasoljuk, amely legalább a benyújtott panaszok fénymásolási, ill. az elektronikus úton érkezett beadványok kinyomtatási költségét fedezné.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highlight w:val="yellow"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Testületünk a fentiek alapján úgy értékeli, hogy az általunk lefolytatott eljárások eredményessége és teljesítménye a fenti javaslataink elfogadásával és megvalósításával lenne csak lehetséges.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/>
          <w:bCs/>
          <w:iCs/>
        </w:rPr>
      </w:pPr>
      <w:r>
        <w:rPr>
          <w:b/>
          <w:bCs/>
          <w:iCs/>
        </w:rPr>
        <w:lastRenderedPageBreak/>
        <w:t>III. JOGSZABÁLYOK MÓDOSÍTÁSA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highlight w:val="yellow"/>
        </w:rPr>
      </w:pP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  <w:r>
        <w:rPr>
          <w:bCs/>
          <w:iCs/>
        </w:rPr>
        <w:t>Többször tettünk javaslatot arra, hogy az eljárásra vonatkozó fogyasztóvédelmi törvény kötelezően írja elő mindkét fél számára a meghallgatáson való megjelenést, tekintettel arra, hogy a testület az alapvető feladatát csak akkor tudja ellátni, ha a meghallgatáson mindkét fél jelen van, illetve képviselteti magát. Ezen javaslatunk elfogadását – a panaszolt vállalkozások oldaláról  –  örömmel üdvözöltük a 2015. szeptember 11-i fogyasztóvédelmi törvénymódosítás eredményeként.</w:t>
      </w:r>
    </w:p>
    <w:p w:rsidR="002B5D88" w:rsidRDefault="002B5D88">
      <w:pPr>
        <w:tabs>
          <w:tab w:val="left" w:pos="10602"/>
        </w:tabs>
        <w:jc w:val="both"/>
      </w:pPr>
    </w:p>
    <w:p w:rsidR="002B5D88" w:rsidRDefault="002B5D88">
      <w:pPr>
        <w:tabs>
          <w:tab w:val="left" w:pos="10602"/>
        </w:tabs>
        <w:jc w:val="both"/>
        <w:rPr>
          <w:bCs/>
          <w:iCs/>
        </w:rPr>
      </w:pPr>
      <w:r>
        <w:rPr>
          <w:bCs/>
          <w:iCs/>
        </w:rPr>
        <w:t>A fogyasztói jogok hatékonyabb érvényre juttatása érdekében – a fogyasztóvédelmi törvényt érintően – az alábbi módosítási javaslatokat terjesztjük elő:</w:t>
      </w:r>
    </w:p>
    <w:p w:rsidR="002B5D88" w:rsidRDefault="002B5D88">
      <w:pPr>
        <w:tabs>
          <w:tab w:val="left" w:pos="10602"/>
        </w:tabs>
        <w:jc w:val="both"/>
      </w:pPr>
    </w:p>
    <w:p w:rsidR="002B5D88" w:rsidRDefault="002B5D88">
      <w:pPr>
        <w:numPr>
          <w:ilvl w:val="0"/>
          <w:numId w:val="4"/>
        </w:numPr>
        <w:tabs>
          <w:tab w:val="left" w:pos="10602"/>
        </w:tabs>
        <w:jc w:val="both"/>
      </w:pPr>
      <w:r>
        <w:rPr>
          <w:bCs/>
          <w:iCs/>
        </w:rPr>
        <w:t>Az együttműködési kötelezettsége megsértésén túl további, egyéb fogyasztóvédelmi jogszabálysértések esetén is biztosítsanak szignalizációs lehetőséget a Megyei</w:t>
      </w:r>
      <w:r>
        <w:rPr>
          <w:rStyle w:val="Ershangslyozs1"/>
          <w:b w:val="0"/>
          <w:iCs/>
        </w:rPr>
        <w:t xml:space="preserve"> Kormányhivatalok Műszaki Engedélyezési és Fogyasztóvédelmi Főosztály, Fogyasztóvédelmi Osztálya felé.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</w:pPr>
    </w:p>
    <w:p w:rsidR="002B5D88" w:rsidRDefault="002B5D88">
      <w:pPr>
        <w:numPr>
          <w:ilvl w:val="0"/>
          <w:numId w:val="4"/>
        </w:num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Az ajánlásnak – mivel nem kötelező erejű a végrehajtása és a szankciója – a tapasztalatok szerint – a nyilvánosságra hozatal tekintetében sem bír visszatartó erővel – nincs semmiféle jogi kötöttsége, nem hatékony békéltetési eszköz, ezért ennek megváltoztatását javasoljuk.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</w:pPr>
    </w:p>
    <w:p w:rsidR="002B5D88" w:rsidRDefault="002B5D88">
      <w:pPr>
        <w:numPr>
          <w:ilvl w:val="0"/>
          <w:numId w:val="4"/>
        </w:numPr>
        <w:tabs>
          <w:tab w:val="left" w:pos="9638"/>
          <w:tab w:val="left" w:pos="9923"/>
          <w:tab w:val="left" w:pos="10602"/>
        </w:tabs>
        <w:jc w:val="both"/>
      </w:pPr>
      <w:r>
        <w:t>Az Fgytv. 29. § (4a) szerinti 21 napos határidő a 29. § (4) e pontja szerinti, hiánypótlási felhívással érintett ügyek esetében értelmetlen.  A hiánypótlási felhívás fogyasztói átvételétől kell számítani a megszüntetést tartalmazó kiértesítés határidejét, figyelembe véve a hiányok pótlására adott időt.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</w:pPr>
    </w:p>
    <w:p w:rsidR="002B5D88" w:rsidRDefault="002B5D88">
      <w:pPr>
        <w:pStyle w:val="NormlWeb"/>
        <w:numPr>
          <w:ilvl w:val="0"/>
          <w:numId w:val="4"/>
        </w:numPr>
        <w:spacing w:before="119" w:after="0"/>
        <w:jc w:val="both"/>
      </w:pPr>
      <w:r>
        <w:t>Javasoljuk, hogy a testületi tagok a 2012. évi C. tv. alapján közfeladatot ellátó személynek minősüljenek.</w:t>
      </w:r>
    </w:p>
    <w:p w:rsidR="002B5D88" w:rsidRDefault="002B5D88">
      <w:pPr>
        <w:rPr>
          <w:highlight w:val="yellow"/>
        </w:rPr>
      </w:pPr>
    </w:p>
    <w:p w:rsidR="002B5D88" w:rsidRDefault="002B5D88">
      <w:pPr>
        <w:numPr>
          <w:ilvl w:val="0"/>
          <w:numId w:val="4"/>
        </w:numPr>
        <w:jc w:val="both"/>
      </w:pPr>
      <w:r>
        <w:rPr>
          <w:iCs/>
        </w:rPr>
        <w:t>A finanszírozás kérdésének a megoldásával egyidejűleg javasoljuk a</w:t>
      </w:r>
      <w:r>
        <w:rPr>
          <w:rFonts w:ascii="Times" w:hAnsi="Times" w:cs="Times"/>
          <w:iCs/>
          <w:color w:val="000000"/>
        </w:rPr>
        <w:t xml:space="preserve"> békéltető testületi tagok díjazásáról szóló 211/1998. (XII. 24.) Korm. rendelet </w:t>
      </w:r>
      <w:r>
        <w:rPr>
          <w:iCs/>
        </w:rPr>
        <w:t>módosítását is, mivel az ügyek munkaigénye a meghallgatáson hozott döntések esetében egyenlő mértékű.</w:t>
      </w:r>
    </w:p>
    <w:p w:rsidR="002B5D88" w:rsidRDefault="002B5D88">
      <w:pPr>
        <w:jc w:val="both"/>
        <w:rPr>
          <w:iCs/>
        </w:rPr>
      </w:pPr>
    </w:p>
    <w:p w:rsidR="002B5D88" w:rsidRDefault="002B5D88">
      <w:pPr>
        <w:numPr>
          <w:ilvl w:val="0"/>
          <w:numId w:val="4"/>
        </w:numPr>
        <w:jc w:val="both"/>
        <w:rPr>
          <w:iCs/>
        </w:rPr>
      </w:pPr>
      <w:r>
        <w:rPr>
          <w:iCs/>
        </w:rPr>
        <w:t>A II. pontban ismertetett finanszírozási probléma megoldásához is jogszabálymódosításra van szükség az ügyszámarányos támogatás megváltoztatásához.</w:t>
      </w:r>
    </w:p>
    <w:p w:rsidR="002B5D88" w:rsidRDefault="002B5D88">
      <w:pPr>
        <w:jc w:val="both"/>
        <w:rPr>
          <w:bCs/>
          <w:iCs/>
        </w:rPr>
      </w:pPr>
    </w:p>
    <w:p w:rsidR="002B5D88" w:rsidRDefault="002B5D88">
      <w:pPr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/>
          <w:bCs/>
          <w:iCs/>
        </w:rPr>
      </w:pPr>
      <w:r>
        <w:rPr>
          <w:b/>
          <w:bCs/>
          <w:iCs/>
        </w:rPr>
        <w:t>IV. STATISZTIKAI ADATOK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</w:pPr>
      <w:r>
        <w:rPr>
          <w:bCs/>
          <w:iCs/>
        </w:rPr>
        <w:t xml:space="preserve">Tájékoztatjuk, hogy a 2014. évről 94 ügy húzódott át 2015-re, amelyhez 2015. évben 393 új beadvány érkezett. A </w:t>
      </w:r>
      <w:r>
        <w:rPr>
          <w:iCs/>
        </w:rPr>
        <w:t xml:space="preserve">487 ügyből </w:t>
      </w:r>
      <w:r>
        <w:rPr>
          <w:b/>
          <w:bCs/>
          <w:iCs/>
        </w:rPr>
        <w:t xml:space="preserve">395 ügyet tudott a Testület lezárni. </w:t>
      </w:r>
      <w:r>
        <w:rPr>
          <w:iCs/>
        </w:rPr>
        <w:t>A lezárt ügyek nagyobb része, 70 %-a termékekkel, míg a 30 %-a szolgáltatásokkal volt kapcsolatos.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iCs/>
        </w:rPr>
      </w:pPr>
      <w:r>
        <w:rPr>
          <w:iCs/>
        </w:rPr>
        <w:t>Az ügyek típusait az alábbiak szerint ismertetjük: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Termékek: 273 (70%)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u w:val="single"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Élelmiszerek, italok: 0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Textil, ruhanemű: 13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Lábbelik: 89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Építőanyagok, burkolatok, nyílászárók: 21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Számítástechnika és irodai gépek, eszközök, adattárolók: 22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Híradástechnika: 36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Háztartási és kerti gépek, kézi szerszámgépek: 26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Látszerészet, fényképészet, optikai eszközök, műszerek: 3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Egészségmegőrző és gyógyászati termékek, eszközök: 25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Járművek és alkatrészek: 12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Bútor,sportszer, hangszer, óra, ékszer: 16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Egyéb termékek: 12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Hatáskör hiánya: 0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 xml:space="preserve">Áttétel:1 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highlight w:val="yellow"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Szolgáltatások: 122 (30%)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u w:val="single"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Építőipari kivitelezés: 17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Turizmus: 11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Közlekedés: 25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Posta és távközlés: 16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Közüzemi szolgáltatások: 25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Javítás, karbantartás: 4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Egyéb szolgáltatás: 2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Személyi szolgáltatások: 0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Ingatlan ügyletek: 2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Oktatás: 0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Háztartási kisegítő szolgáltatás: 0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Gazdasági és egyéb szolgáltatások: 16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Áttétel: 3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iCs/>
        </w:rPr>
      </w:pPr>
      <w:r>
        <w:rPr>
          <w:iCs/>
        </w:rPr>
        <w:t>Hatáskör hiánya: 1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 xml:space="preserve">A 395 lezárt ügyek közül 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kötelezést tartalmazó határozat: 4 (1 %)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egyezséget tartalmazó határozat: 48 (12 %)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ajánlás: 83 (22 %)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elutasítás: 65 (16 %)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egyéb megszüntetést tartalmazó határozat: 195 (49 %)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 xml:space="preserve">született. 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 xml:space="preserve">Az egyéb megszüntetések okai az alábbiak voltak: 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hatáskör hiánya: 1 (1 %)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illetékesség hiánya: 4 (2 %)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visszavonta a kérelmet: 40 (21 %)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lehetetlen volt az eljárást folytatni: 57 (29 %)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hiányokat nem pótolta: 64 (33 %)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  <w:r>
        <w:rPr>
          <w:bCs/>
          <w:iCs/>
        </w:rPr>
        <w:t>- felek megállapodása: 27 (14 %)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 fenti adatokból látható, hogy a panasszal érintett vállalkozások készsége az együttműködésre, valamint az alávetési nyilatkozat megtételére még mindig nem elégséges. Az elmúlt év második felében nőtt meg az egyezségek száma (az I. félévben 18, a II. félévben 30 volt), ami azon jogszabályi változásnak volt köszönhető, hogy a fogyasztóvédelmi törvény 2015. 09. 11-i hatálybalépése kötelező tette a panasszal érintett vállalkozások személyes részvételét az eljárásokban, ill. az ezt kiváltó írásos egyezségi ajánlat megtételét azon esetekben, ahol a panasszal érintett vállalkozás nem rendelkezik sem székhellyel, sem telephellyel azon megyében, ahol a fogyasztó az eljárás lefolytatását kéri.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 xml:space="preserve">Magas az ajánlások száma, amelyek nagyobb részben a nem baranyai vállalkozásokat érintik, ill. azon ügyekre jellemző, amelyek az üzleten kívüli és távollévők közötti szerződéskötéssel, azaz a termékbemutatókon vagy a webáruházakból rendelt termékekkel kapcsolatos jogvitákból erednek. 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 termékbemutatókkal kapcsolatos ügyek kapcsán éri nagyobb sérelem a fogyasztókat, amelyek csökkentése az álláspontunk szerint a szigorúbb jogszabályi előírásokkal, azok betartásának ellenőrzésével, ill. a fogyasztók szélesebb körű tájékoztatásával érhető el.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Az elutasítások oka az, hogy a fogyasztó a kérelmét nem tudta bizonyítékokkal alátámasztani, illetőleg a beadványa eleve alaptalan volt.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 Testületnek kevés információja van arra nézve, hogy a meghozatalra került ajánlások, egyezséget vagy kötelezést tartalmazó határozatok mennyiben kerültek teljesítésre, mert kevés visszajelzés érkezik a Testülethez, annak ellenére, hogy ezen információk kötelező közlésére mind a meghallgatáson, mind pedig a félnek küldött határozatban is felhívjuk a figyelmét. Az elmúlt évben is minimális, összesen 49 fogyasztói visszajelzés érkezett be, melynek kevesebb mint a fele (20) szólt a teljesítésről.  Nincs értelme kötelezettséget előírni, ha nincs mögötte következmény.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/>
          <w:bCs/>
          <w:i/>
          <w:iCs/>
          <w:u w:val="single"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 lezárt ügyekből 67 bizonyult alaptalannak, 87 pedig megalapozottnak.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</w:pPr>
      <w:r>
        <w:rPr>
          <w:bCs/>
          <w:iCs/>
        </w:rPr>
        <w:t xml:space="preserve">Az eljárásban előírt ügyintézési határidőket tekintve elsődlegesen a 60 napon belüli meghallgatási időpont kitűzését nem tudjuk tartani, mivel a növekvő ügyszámmal együtt járó adminisztrációs feladatok ellátása egyre nagyobb terhet ill. költséget jelent, amelyet a fnanszírozási nehézségek okoznak. Ennek a problémának a megoldását szintén a támogatási összeg növelésében látjuk. 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/>
          <w:bCs/>
          <w:iCs/>
        </w:rPr>
      </w:pPr>
      <w:r>
        <w:rPr>
          <w:b/>
          <w:bCs/>
          <w:iCs/>
        </w:rPr>
        <w:t>V. EGYEBEK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 Testület az elmúlt év során tartott továbbképzést a tagjainak az eljárásra vonatkozó jogszabály-módosításokra tekintettel.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</w:p>
    <w:p w:rsidR="002B5D88" w:rsidRDefault="002B5D88">
      <w:pPr>
        <w:tabs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>
        <w:rPr>
          <w:bCs/>
          <w:iCs/>
        </w:rPr>
        <w:t>A kötelezően előírt promóciós tevékenységre előírt 632.522,- Ft-ot az alábbiakra használtunk fel:</w:t>
      </w:r>
    </w:p>
    <w:p w:rsidR="002B5D88" w:rsidRDefault="002B5D88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2B5D88" w:rsidRDefault="002B5D88">
      <w:pPr>
        <w:jc w:val="both"/>
      </w:pPr>
      <w:r>
        <w:t>A Békéltető Testületről négy alkalommal történt megjelenés a</w:t>
      </w:r>
      <w:r>
        <w:rPr>
          <w:rStyle w:val="Ershangslyozs1"/>
          <w:b w:val="0"/>
          <w:bCs/>
        </w:rPr>
        <w:t xml:space="preserve"> megyei napilapban, amely napilap elsősorban helyi híreket, információkat tartalmaz, de emellett beszámol az országos közéleti, gazdasági eseményekről is.</w:t>
      </w:r>
      <w:r>
        <w:t xml:space="preserve"> A Dunántúli Naplónak </w:t>
      </w:r>
      <w:r>
        <w:rPr>
          <w:rStyle w:val="Ershangslyozs1"/>
          <w:b w:val="0"/>
          <w:bCs/>
        </w:rPr>
        <w:t>117 000 olvasója van naponta, a</w:t>
      </w:r>
      <w:bookmarkStart w:id="1" w:name="p2"/>
      <w:bookmarkEnd w:id="1"/>
      <w:r>
        <w:t xml:space="preserve"> lap az </w:t>
      </w:r>
      <w:r>
        <w:rPr>
          <w:rStyle w:val="Ershangslyozs1"/>
          <w:b w:val="0"/>
          <w:bCs/>
        </w:rPr>
        <w:t>elsődleges és a legnagyobb olvasóközönséget</w:t>
      </w:r>
      <w:r>
        <w:t xml:space="preserve"> elérő sajtótermék a megyében. Magas a célcsoport-lefedés, a család minden tagját, vagyis </w:t>
      </w:r>
      <w:r>
        <w:rPr>
          <w:rStyle w:val="Ershangslyozs1"/>
          <w:b w:val="0"/>
          <w:bCs/>
        </w:rPr>
        <w:t>egyszerre több célcsoportot</w:t>
      </w:r>
      <w:r>
        <w:t xml:space="preserve"> lehet elérni a benne megjelentetett hirdetéssel. A lapban a Baranyai Üzlet rovatot havonta egy alkalommal a Pécs-Baranyai Kereskedelmi és Iparkamara támogatja. </w:t>
      </w:r>
    </w:p>
    <w:p w:rsidR="002B5D88" w:rsidRDefault="002B5D88">
      <w:pPr>
        <w:jc w:val="both"/>
        <w:rPr>
          <w:sz w:val="22"/>
          <w:szCs w:val="22"/>
        </w:rPr>
      </w:pPr>
    </w:p>
    <w:p w:rsidR="002B5D88" w:rsidRDefault="002B5D88">
      <w:pPr>
        <w:ind w:right="709"/>
        <w:jc w:val="both"/>
        <w:rPr>
          <w:bCs/>
          <w:iCs/>
          <w:sz w:val="22"/>
          <w:szCs w:val="22"/>
        </w:rPr>
      </w:pPr>
    </w:p>
    <w:p w:rsidR="002B5D88" w:rsidRDefault="002B5D88">
      <w:pPr>
        <w:ind w:right="709"/>
        <w:jc w:val="both"/>
        <w:rPr>
          <w:bCs/>
          <w:iCs/>
        </w:rPr>
      </w:pPr>
      <w:r>
        <w:rPr>
          <w:bCs/>
          <w:iCs/>
        </w:rPr>
        <w:t>P é c s, 2016. január 21.</w:t>
      </w:r>
    </w:p>
    <w:p w:rsidR="002B5D88" w:rsidRDefault="002B5D88">
      <w:pPr>
        <w:ind w:right="709"/>
        <w:jc w:val="both"/>
        <w:rPr>
          <w:b/>
          <w:bCs/>
          <w:iCs/>
        </w:rPr>
      </w:pPr>
    </w:p>
    <w:p w:rsidR="002B5D88" w:rsidRDefault="002B5D88">
      <w:pPr>
        <w:ind w:left="1416" w:right="709" w:firstLine="708"/>
        <w:jc w:val="both"/>
        <w:rPr>
          <w:bCs/>
          <w:iCs/>
        </w:rPr>
      </w:pPr>
      <w:r>
        <w:rPr>
          <w:bCs/>
          <w:iCs/>
        </w:rPr>
        <w:t>Tisztelettel:</w:t>
      </w:r>
      <w:r>
        <w:rPr>
          <w:bCs/>
          <w:iCs/>
        </w:rPr>
        <w:tab/>
      </w:r>
    </w:p>
    <w:p w:rsidR="002B5D88" w:rsidRDefault="002B5D88">
      <w:pPr>
        <w:ind w:left="1416" w:right="709" w:firstLine="708"/>
        <w:jc w:val="both"/>
        <w:rPr>
          <w:bCs/>
          <w:iCs/>
        </w:rPr>
      </w:pPr>
    </w:p>
    <w:p w:rsidR="002B5D88" w:rsidRDefault="002B5D88">
      <w:pPr>
        <w:ind w:left="1416" w:right="709" w:firstLine="708"/>
        <w:jc w:val="both"/>
        <w:rPr>
          <w:bCs/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</w:p>
    <w:p w:rsidR="002B5D88" w:rsidRDefault="002B5D88">
      <w:pPr>
        <w:ind w:left="1389" w:right="709" w:firstLine="735"/>
        <w:jc w:val="both"/>
        <w:rPr>
          <w:bCs/>
          <w:iCs/>
        </w:rPr>
      </w:pPr>
      <w:r>
        <w:rPr>
          <w:bCs/>
          <w:iCs/>
        </w:rPr>
        <w:t xml:space="preserve">          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  <w:t>dr. Bércesi Ferenc</w:t>
      </w:r>
    </w:p>
    <w:p w:rsidR="002B5D88" w:rsidRDefault="002B5D88">
      <w:pPr>
        <w:ind w:left="4248" w:right="709"/>
        <w:jc w:val="both"/>
      </w:pPr>
      <w:r>
        <w:t xml:space="preserve">      a Baranya Megyei Békéltető Testület elnöke</w:t>
      </w:r>
    </w:p>
    <w:p w:rsidR="002B5D88" w:rsidRDefault="002B5D88">
      <w:pPr>
        <w:ind w:right="709"/>
        <w:jc w:val="both"/>
      </w:pPr>
    </w:p>
    <w:sectPr w:rsidR="002B5D88" w:rsidSect="006E607C">
      <w:headerReference w:type="default" r:id="rId16"/>
      <w:footerReference w:type="default" r:id="rId17"/>
      <w:pgSz w:w="11906" w:h="16838"/>
      <w:pgMar w:top="765" w:right="1134" w:bottom="709" w:left="1134" w:header="709" w:footer="42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37" w:rsidRDefault="006D4837" w:rsidP="006E607C">
      <w:r>
        <w:separator/>
      </w:r>
    </w:p>
  </w:endnote>
  <w:endnote w:type="continuationSeparator" w:id="0">
    <w:p w:rsidR="006D4837" w:rsidRDefault="006D4837" w:rsidP="006E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D88" w:rsidRDefault="006D4837">
    <w:pPr>
      <w:pStyle w:val="llb"/>
      <w:jc w:val="right"/>
    </w:pPr>
    <w:r>
      <w:fldChar w:fldCharType="begin"/>
    </w:r>
    <w:r>
      <w:instrText>PAGE</w:instrText>
    </w:r>
    <w:r>
      <w:fldChar w:fldCharType="separate"/>
    </w:r>
    <w:r w:rsidR="00861375">
      <w:rPr>
        <w:noProof/>
      </w:rPr>
      <w:t>1</w:t>
    </w:r>
    <w:r>
      <w:rPr>
        <w:noProof/>
      </w:rPr>
      <w:fldChar w:fldCharType="end"/>
    </w:r>
    <w:r w:rsidR="002B5D88">
      <w:rPr>
        <w:sz w:val="16"/>
        <w:szCs w:val="16"/>
      </w:rPr>
      <w:t xml:space="preserve">. oldal, összesen: </w:t>
    </w:r>
    <w:r>
      <w:fldChar w:fldCharType="begin"/>
    </w:r>
    <w:r>
      <w:instrText>NUMPAGES \* ARABIC</w:instrText>
    </w:r>
    <w:r>
      <w:fldChar w:fldCharType="separate"/>
    </w:r>
    <w:r w:rsidR="0086137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37" w:rsidRDefault="006D4837" w:rsidP="006E607C">
      <w:r>
        <w:separator/>
      </w:r>
    </w:p>
  </w:footnote>
  <w:footnote w:type="continuationSeparator" w:id="0">
    <w:p w:rsidR="006D4837" w:rsidRDefault="006D4837" w:rsidP="006E6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D88" w:rsidRDefault="002B5D88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5D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D426A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2F6E4F7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68CA557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7C"/>
    <w:rsid w:val="0027790C"/>
    <w:rsid w:val="002B5D88"/>
    <w:rsid w:val="0047747F"/>
    <w:rsid w:val="006D4837"/>
    <w:rsid w:val="006E607C"/>
    <w:rsid w:val="00861375"/>
    <w:rsid w:val="0097095A"/>
    <w:rsid w:val="00C4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607C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uiPriority w:val="99"/>
    <w:rsid w:val="006E607C"/>
  </w:style>
  <w:style w:type="character" w:customStyle="1" w:styleId="WW8Num1z1">
    <w:name w:val="WW8Num1z1"/>
    <w:uiPriority w:val="99"/>
    <w:rsid w:val="006E607C"/>
  </w:style>
  <w:style w:type="character" w:customStyle="1" w:styleId="WW8Num1z2">
    <w:name w:val="WW8Num1z2"/>
    <w:uiPriority w:val="99"/>
    <w:rsid w:val="006E607C"/>
  </w:style>
  <w:style w:type="character" w:customStyle="1" w:styleId="WW8Num1z3">
    <w:name w:val="WW8Num1z3"/>
    <w:uiPriority w:val="99"/>
    <w:rsid w:val="006E607C"/>
  </w:style>
  <w:style w:type="character" w:customStyle="1" w:styleId="WW8Num1z4">
    <w:name w:val="WW8Num1z4"/>
    <w:uiPriority w:val="99"/>
    <w:rsid w:val="006E607C"/>
  </w:style>
  <w:style w:type="character" w:customStyle="1" w:styleId="WW8Num1z5">
    <w:name w:val="WW8Num1z5"/>
    <w:uiPriority w:val="99"/>
    <w:rsid w:val="006E607C"/>
  </w:style>
  <w:style w:type="character" w:customStyle="1" w:styleId="WW8Num1z6">
    <w:name w:val="WW8Num1z6"/>
    <w:uiPriority w:val="99"/>
    <w:rsid w:val="006E607C"/>
  </w:style>
  <w:style w:type="character" w:customStyle="1" w:styleId="WW8Num1z7">
    <w:name w:val="WW8Num1z7"/>
    <w:uiPriority w:val="99"/>
    <w:rsid w:val="006E607C"/>
  </w:style>
  <w:style w:type="character" w:customStyle="1" w:styleId="WW8Num1z8">
    <w:name w:val="WW8Num1z8"/>
    <w:uiPriority w:val="99"/>
    <w:rsid w:val="006E607C"/>
  </w:style>
  <w:style w:type="character" w:customStyle="1" w:styleId="WW8Num2z0">
    <w:name w:val="WW8Num2z0"/>
    <w:uiPriority w:val="99"/>
    <w:rsid w:val="006E607C"/>
  </w:style>
  <w:style w:type="character" w:customStyle="1" w:styleId="WW8Num2z1">
    <w:name w:val="WW8Num2z1"/>
    <w:uiPriority w:val="99"/>
    <w:rsid w:val="006E607C"/>
    <w:rPr>
      <w:rFonts w:ascii="Courier New" w:hAnsi="Courier New"/>
    </w:rPr>
  </w:style>
  <w:style w:type="character" w:customStyle="1" w:styleId="WW8Num2z2">
    <w:name w:val="WW8Num2z2"/>
    <w:uiPriority w:val="99"/>
    <w:rsid w:val="006E607C"/>
    <w:rPr>
      <w:rFonts w:ascii="Wingdings" w:hAnsi="Wingdings"/>
    </w:rPr>
  </w:style>
  <w:style w:type="character" w:customStyle="1" w:styleId="WW8Num3z0">
    <w:name w:val="WW8Num3z0"/>
    <w:uiPriority w:val="99"/>
    <w:rsid w:val="006E607C"/>
    <w:rPr>
      <w:rFonts w:ascii="Times New Roman" w:hAnsi="Times New Roman"/>
    </w:rPr>
  </w:style>
  <w:style w:type="character" w:customStyle="1" w:styleId="WW8Num3z1">
    <w:name w:val="WW8Num3z1"/>
    <w:uiPriority w:val="99"/>
    <w:rsid w:val="006E607C"/>
    <w:rPr>
      <w:rFonts w:ascii="Courier New" w:hAnsi="Courier New"/>
    </w:rPr>
  </w:style>
  <w:style w:type="character" w:customStyle="1" w:styleId="WW8Num3z2">
    <w:name w:val="WW8Num3z2"/>
    <w:uiPriority w:val="99"/>
    <w:rsid w:val="006E607C"/>
    <w:rPr>
      <w:rFonts w:ascii="Wingdings" w:hAnsi="Wingdings"/>
    </w:rPr>
  </w:style>
  <w:style w:type="character" w:customStyle="1" w:styleId="WW8Num3z3">
    <w:name w:val="WW8Num3z3"/>
    <w:uiPriority w:val="99"/>
    <w:rsid w:val="006E607C"/>
    <w:rPr>
      <w:rFonts w:ascii="Symbol" w:hAnsi="Symbol"/>
    </w:rPr>
  </w:style>
  <w:style w:type="character" w:customStyle="1" w:styleId="WW8Num4z0">
    <w:name w:val="WW8Num4z0"/>
    <w:uiPriority w:val="99"/>
    <w:rsid w:val="006E607C"/>
    <w:rPr>
      <w:rFonts w:ascii="Times New Roman" w:hAnsi="Times New Roman"/>
    </w:rPr>
  </w:style>
  <w:style w:type="character" w:customStyle="1" w:styleId="WW8Num4z1">
    <w:name w:val="WW8Num4z1"/>
    <w:uiPriority w:val="99"/>
    <w:rsid w:val="006E607C"/>
    <w:rPr>
      <w:rFonts w:ascii="Courier New" w:hAnsi="Courier New"/>
    </w:rPr>
  </w:style>
  <w:style w:type="character" w:customStyle="1" w:styleId="WW8Num4z2">
    <w:name w:val="WW8Num4z2"/>
    <w:uiPriority w:val="99"/>
    <w:rsid w:val="006E607C"/>
    <w:rPr>
      <w:rFonts w:ascii="Wingdings" w:hAnsi="Wingdings"/>
    </w:rPr>
  </w:style>
  <w:style w:type="character" w:customStyle="1" w:styleId="WW8Num4z3">
    <w:name w:val="WW8Num4z3"/>
    <w:uiPriority w:val="99"/>
    <w:rsid w:val="006E607C"/>
    <w:rPr>
      <w:rFonts w:ascii="Symbol" w:hAnsi="Symbol"/>
    </w:rPr>
  </w:style>
  <w:style w:type="character" w:customStyle="1" w:styleId="Bekezdsalapbettpusa1">
    <w:name w:val="Bekezdés alapbetűtípusa1"/>
    <w:uiPriority w:val="99"/>
    <w:rsid w:val="006E607C"/>
  </w:style>
  <w:style w:type="character" w:customStyle="1" w:styleId="CharChar3">
    <w:name w:val="Char Char3"/>
    <w:basedOn w:val="Bekezdsalapbettpusa1"/>
    <w:uiPriority w:val="99"/>
    <w:rsid w:val="006E607C"/>
    <w:rPr>
      <w:rFonts w:cs="Times New Roman"/>
      <w:sz w:val="24"/>
      <w:szCs w:val="24"/>
    </w:rPr>
  </w:style>
  <w:style w:type="character" w:customStyle="1" w:styleId="CharChar2">
    <w:name w:val="Char Char2"/>
    <w:basedOn w:val="Bekezdsalapbettpusa1"/>
    <w:uiPriority w:val="99"/>
    <w:rsid w:val="006E607C"/>
    <w:rPr>
      <w:rFonts w:cs="Times New Roman"/>
      <w:sz w:val="24"/>
      <w:szCs w:val="24"/>
    </w:rPr>
  </w:style>
  <w:style w:type="character" w:customStyle="1" w:styleId="CharChar1">
    <w:name w:val="Char Char1"/>
    <w:basedOn w:val="Bekezdsalapbettpusa1"/>
    <w:uiPriority w:val="99"/>
    <w:rsid w:val="006E607C"/>
    <w:rPr>
      <w:rFonts w:cs="Times New Roman"/>
      <w:sz w:val="24"/>
      <w:szCs w:val="24"/>
    </w:rPr>
  </w:style>
  <w:style w:type="character" w:customStyle="1" w:styleId="CharChar">
    <w:name w:val="Char Char"/>
    <w:basedOn w:val="Bekezdsalapbettpusa1"/>
    <w:uiPriority w:val="99"/>
    <w:rsid w:val="006E607C"/>
    <w:rPr>
      <w:rFonts w:ascii="Courier New" w:hAnsi="Courier New" w:cs="Courier New"/>
      <w:sz w:val="20"/>
      <w:szCs w:val="20"/>
    </w:rPr>
  </w:style>
  <w:style w:type="character" w:customStyle="1" w:styleId="Internet-hivatkozs">
    <w:name w:val="Internet-hivatkozás"/>
    <w:basedOn w:val="Bekezdsalapbettpusa1"/>
    <w:uiPriority w:val="99"/>
    <w:rsid w:val="006E607C"/>
    <w:rPr>
      <w:rFonts w:cs="Times New Roman"/>
      <w:color w:val="0000FF"/>
      <w:u w:val="single"/>
    </w:rPr>
  </w:style>
  <w:style w:type="character" w:customStyle="1" w:styleId="Felsorolsjel">
    <w:name w:val="Felsorolásjel"/>
    <w:uiPriority w:val="99"/>
    <w:rsid w:val="006E607C"/>
    <w:rPr>
      <w:rFonts w:ascii="OpenSymbol" w:eastAsia="Times New Roman" w:hAnsi="OpenSymbol"/>
    </w:rPr>
  </w:style>
  <w:style w:type="character" w:customStyle="1" w:styleId="WW8Num5z0">
    <w:name w:val="WW8Num5z0"/>
    <w:uiPriority w:val="99"/>
    <w:rsid w:val="006E607C"/>
  </w:style>
  <w:style w:type="character" w:customStyle="1" w:styleId="WW8Num5z1">
    <w:name w:val="WW8Num5z1"/>
    <w:uiPriority w:val="99"/>
    <w:rsid w:val="006E607C"/>
  </w:style>
  <w:style w:type="character" w:customStyle="1" w:styleId="WW8Num5z2">
    <w:name w:val="WW8Num5z2"/>
    <w:uiPriority w:val="99"/>
    <w:rsid w:val="006E607C"/>
  </w:style>
  <w:style w:type="character" w:customStyle="1" w:styleId="WW8Num5z3">
    <w:name w:val="WW8Num5z3"/>
    <w:uiPriority w:val="99"/>
    <w:rsid w:val="006E607C"/>
  </w:style>
  <w:style w:type="character" w:customStyle="1" w:styleId="WW8Num5z4">
    <w:name w:val="WW8Num5z4"/>
    <w:uiPriority w:val="99"/>
    <w:rsid w:val="006E607C"/>
  </w:style>
  <w:style w:type="character" w:customStyle="1" w:styleId="WW8Num5z5">
    <w:name w:val="WW8Num5z5"/>
    <w:uiPriority w:val="99"/>
    <w:rsid w:val="006E607C"/>
  </w:style>
  <w:style w:type="character" w:customStyle="1" w:styleId="WW8Num5z6">
    <w:name w:val="WW8Num5z6"/>
    <w:uiPriority w:val="99"/>
    <w:rsid w:val="006E607C"/>
  </w:style>
  <w:style w:type="character" w:customStyle="1" w:styleId="WW8Num5z7">
    <w:name w:val="WW8Num5z7"/>
    <w:uiPriority w:val="99"/>
    <w:rsid w:val="006E607C"/>
  </w:style>
  <w:style w:type="character" w:customStyle="1" w:styleId="WW8Num5z8">
    <w:name w:val="WW8Num5z8"/>
    <w:uiPriority w:val="99"/>
    <w:rsid w:val="006E607C"/>
  </w:style>
  <w:style w:type="character" w:customStyle="1" w:styleId="Ershangslyozs1">
    <w:name w:val="Erős hangsúlyozás1"/>
    <w:uiPriority w:val="99"/>
    <w:rsid w:val="006E607C"/>
    <w:rPr>
      <w:b/>
    </w:rPr>
  </w:style>
  <w:style w:type="character" w:customStyle="1" w:styleId="Szmozsjelek">
    <w:name w:val="Számozásjelek"/>
    <w:uiPriority w:val="99"/>
    <w:rsid w:val="006E607C"/>
  </w:style>
  <w:style w:type="paragraph" w:customStyle="1" w:styleId="Cmsor">
    <w:name w:val="Címsor"/>
    <w:basedOn w:val="Norml"/>
    <w:next w:val="Szvegtrzs"/>
    <w:uiPriority w:val="99"/>
    <w:rsid w:val="006E607C"/>
    <w:pPr>
      <w:keepNext/>
      <w:spacing w:before="240" w:after="120"/>
    </w:pPr>
    <w:rPr>
      <w:rFonts w:eastAsia="Microsoft YaHei" w:cs="Mangal"/>
      <w:szCs w:val="28"/>
    </w:rPr>
  </w:style>
  <w:style w:type="paragraph" w:styleId="Szvegtrzs">
    <w:name w:val="Body Text"/>
    <w:basedOn w:val="Norml"/>
    <w:link w:val="SzvegtrzsChar"/>
    <w:uiPriority w:val="99"/>
    <w:rsid w:val="006E607C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60FC0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6E607C"/>
    <w:rPr>
      <w:rFonts w:cs="Mangal"/>
    </w:rPr>
  </w:style>
  <w:style w:type="paragraph" w:customStyle="1" w:styleId="Felirat">
    <w:name w:val="Felirat"/>
    <w:basedOn w:val="Norml"/>
    <w:uiPriority w:val="99"/>
    <w:rsid w:val="006E607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uiPriority w:val="99"/>
    <w:rsid w:val="006E607C"/>
    <w:pPr>
      <w:suppressLineNumbers/>
    </w:pPr>
    <w:rPr>
      <w:rFonts w:cs="Mangal"/>
    </w:rPr>
  </w:style>
  <w:style w:type="paragraph" w:styleId="Kpalrs">
    <w:name w:val="caption"/>
    <w:basedOn w:val="Norml"/>
    <w:uiPriority w:val="99"/>
    <w:qFormat/>
    <w:rsid w:val="006E607C"/>
    <w:pPr>
      <w:suppressLineNumbers/>
      <w:spacing w:before="120" w:after="120"/>
    </w:pPr>
    <w:rPr>
      <w:rFonts w:cs="Mangal"/>
      <w:i/>
      <w:iCs/>
    </w:rPr>
  </w:style>
  <w:style w:type="paragraph" w:styleId="lfej">
    <w:name w:val="header"/>
    <w:basedOn w:val="Norml"/>
    <w:link w:val="lfejChar"/>
    <w:uiPriority w:val="99"/>
    <w:rsid w:val="006E607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60FC0"/>
    <w:rPr>
      <w:rFonts w:ascii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rsid w:val="006E607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B60FC0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rsid w:val="006E607C"/>
    <w:pPr>
      <w:spacing w:before="280" w:after="280"/>
    </w:pPr>
    <w:rPr>
      <w:color w:val="000000"/>
    </w:rPr>
  </w:style>
  <w:style w:type="paragraph" w:customStyle="1" w:styleId="Csakszveg1">
    <w:name w:val="Csak szöveg1"/>
    <w:basedOn w:val="Norml"/>
    <w:uiPriority w:val="99"/>
    <w:rsid w:val="006E607C"/>
    <w:rPr>
      <w:rFonts w:ascii="Courier New" w:hAnsi="Courier New" w:cs="Courier New"/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6E607C"/>
    <w:pPr>
      <w:ind w:left="720"/>
      <w:contextualSpacing/>
    </w:pPr>
  </w:style>
  <w:style w:type="paragraph" w:customStyle="1" w:styleId="Kerettartalom">
    <w:name w:val="Kerettartalom"/>
    <w:basedOn w:val="Norml"/>
    <w:uiPriority w:val="99"/>
    <w:rsid w:val="006E6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607C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uiPriority w:val="99"/>
    <w:rsid w:val="006E607C"/>
  </w:style>
  <w:style w:type="character" w:customStyle="1" w:styleId="WW8Num1z1">
    <w:name w:val="WW8Num1z1"/>
    <w:uiPriority w:val="99"/>
    <w:rsid w:val="006E607C"/>
  </w:style>
  <w:style w:type="character" w:customStyle="1" w:styleId="WW8Num1z2">
    <w:name w:val="WW8Num1z2"/>
    <w:uiPriority w:val="99"/>
    <w:rsid w:val="006E607C"/>
  </w:style>
  <w:style w:type="character" w:customStyle="1" w:styleId="WW8Num1z3">
    <w:name w:val="WW8Num1z3"/>
    <w:uiPriority w:val="99"/>
    <w:rsid w:val="006E607C"/>
  </w:style>
  <w:style w:type="character" w:customStyle="1" w:styleId="WW8Num1z4">
    <w:name w:val="WW8Num1z4"/>
    <w:uiPriority w:val="99"/>
    <w:rsid w:val="006E607C"/>
  </w:style>
  <w:style w:type="character" w:customStyle="1" w:styleId="WW8Num1z5">
    <w:name w:val="WW8Num1z5"/>
    <w:uiPriority w:val="99"/>
    <w:rsid w:val="006E607C"/>
  </w:style>
  <w:style w:type="character" w:customStyle="1" w:styleId="WW8Num1z6">
    <w:name w:val="WW8Num1z6"/>
    <w:uiPriority w:val="99"/>
    <w:rsid w:val="006E607C"/>
  </w:style>
  <w:style w:type="character" w:customStyle="1" w:styleId="WW8Num1z7">
    <w:name w:val="WW8Num1z7"/>
    <w:uiPriority w:val="99"/>
    <w:rsid w:val="006E607C"/>
  </w:style>
  <w:style w:type="character" w:customStyle="1" w:styleId="WW8Num1z8">
    <w:name w:val="WW8Num1z8"/>
    <w:uiPriority w:val="99"/>
    <w:rsid w:val="006E607C"/>
  </w:style>
  <w:style w:type="character" w:customStyle="1" w:styleId="WW8Num2z0">
    <w:name w:val="WW8Num2z0"/>
    <w:uiPriority w:val="99"/>
    <w:rsid w:val="006E607C"/>
  </w:style>
  <w:style w:type="character" w:customStyle="1" w:styleId="WW8Num2z1">
    <w:name w:val="WW8Num2z1"/>
    <w:uiPriority w:val="99"/>
    <w:rsid w:val="006E607C"/>
    <w:rPr>
      <w:rFonts w:ascii="Courier New" w:hAnsi="Courier New"/>
    </w:rPr>
  </w:style>
  <w:style w:type="character" w:customStyle="1" w:styleId="WW8Num2z2">
    <w:name w:val="WW8Num2z2"/>
    <w:uiPriority w:val="99"/>
    <w:rsid w:val="006E607C"/>
    <w:rPr>
      <w:rFonts w:ascii="Wingdings" w:hAnsi="Wingdings"/>
    </w:rPr>
  </w:style>
  <w:style w:type="character" w:customStyle="1" w:styleId="WW8Num3z0">
    <w:name w:val="WW8Num3z0"/>
    <w:uiPriority w:val="99"/>
    <w:rsid w:val="006E607C"/>
    <w:rPr>
      <w:rFonts w:ascii="Times New Roman" w:hAnsi="Times New Roman"/>
    </w:rPr>
  </w:style>
  <w:style w:type="character" w:customStyle="1" w:styleId="WW8Num3z1">
    <w:name w:val="WW8Num3z1"/>
    <w:uiPriority w:val="99"/>
    <w:rsid w:val="006E607C"/>
    <w:rPr>
      <w:rFonts w:ascii="Courier New" w:hAnsi="Courier New"/>
    </w:rPr>
  </w:style>
  <w:style w:type="character" w:customStyle="1" w:styleId="WW8Num3z2">
    <w:name w:val="WW8Num3z2"/>
    <w:uiPriority w:val="99"/>
    <w:rsid w:val="006E607C"/>
    <w:rPr>
      <w:rFonts w:ascii="Wingdings" w:hAnsi="Wingdings"/>
    </w:rPr>
  </w:style>
  <w:style w:type="character" w:customStyle="1" w:styleId="WW8Num3z3">
    <w:name w:val="WW8Num3z3"/>
    <w:uiPriority w:val="99"/>
    <w:rsid w:val="006E607C"/>
    <w:rPr>
      <w:rFonts w:ascii="Symbol" w:hAnsi="Symbol"/>
    </w:rPr>
  </w:style>
  <w:style w:type="character" w:customStyle="1" w:styleId="WW8Num4z0">
    <w:name w:val="WW8Num4z0"/>
    <w:uiPriority w:val="99"/>
    <w:rsid w:val="006E607C"/>
    <w:rPr>
      <w:rFonts w:ascii="Times New Roman" w:hAnsi="Times New Roman"/>
    </w:rPr>
  </w:style>
  <w:style w:type="character" w:customStyle="1" w:styleId="WW8Num4z1">
    <w:name w:val="WW8Num4z1"/>
    <w:uiPriority w:val="99"/>
    <w:rsid w:val="006E607C"/>
    <w:rPr>
      <w:rFonts w:ascii="Courier New" w:hAnsi="Courier New"/>
    </w:rPr>
  </w:style>
  <w:style w:type="character" w:customStyle="1" w:styleId="WW8Num4z2">
    <w:name w:val="WW8Num4z2"/>
    <w:uiPriority w:val="99"/>
    <w:rsid w:val="006E607C"/>
    <w:rPr>
      <w:rFonts w:ascii="Wingdings" w:hAnsi="Wingdings"/>
    </w:rPr>
  </w:style>
  <w:style w:type="character" w:customStyle="1" w:styleId="WW8Num4z3">
    <w:name w:val="WW8Num4z3"/>
    <w:uiPriority w:val="99"/>
    <w:rsid w:val="006E607C"/>
    <w:rPr>
      <w:rFonts w:ascii="Symbol" w:hAnsi="Symbol"/>
    </w:rPr>
  </w:style>
  <w:style w:type="character" w:customStyle="1" w:styleId="Bekezdsalapbettpusa1">
    <w:name w:val="Bekezdés alapbetűtípusa1"/>
    <w:uiPriority w:val="99"/>
    <w:rsid w:val="006E607C"/>
  </w:style>
  <w:style w:type="character" w:customStyle="1" w:styleId="CharChar3">
    <w:name w:val="Char Char3"/>
    <w:basedOn w:val="Bekezdsalapbettpusa1"/>
    <w:uiPriority w:val="99"/>
    <w:rsid w:val="006E607C"/>
    <w:rPr>
      <w:rFonts w:cs="Times New Roman"/>
      <w:sz w:val="24"/>
      <w:szCs w:val="24"/>
    </w:rPr>
  </w:style>
  <w:style w:type="character" w:customStyle="1" w:styleId="CharChar2">
    <w:name w:val="Char Char2"/>
    <w:basedOn w:val="Bekezdsalapbettpusa1"/>
    <w:uiPriority w:val="99"/>
    <w:rsid w:val="006E607C"/>
    <w:rPr>
      <w:rFonts w:cs="Times New Roman"/>
      <w:sz w:val="24"/>
      <w:szCs w:val="24"/>
    </w:rPr>
  </w:style>
  <w:style w:type="character" w:customStyle="1" w:styleId="CharChar1">
    <w:name w:val="Char Char1"/>
    <w:basedOn w:val="Bekezdsalapbettpusa1"/>
    <w:uiPriority w:val="99"/>
    <w:rsid w:val="006E607C"/>
    <w:rPr>
      <w:rFonts w:cs="Times New Roman"/>
      <w:sz w:val="24"/>
      <w:szCs w:val="24"/>
    </w:rPr>
  </w:style>
  <w:style w:type="character" w:customStyle="1" w:styleId="CharChar">
    <w:name w:val="Char Char"/>
    <w:basedOn w:val="Bekezdsalapbettpusa1"/>
    <w:uiPriority w:val="99"/>
    <w:rsid w:val="006E607C"/>
    <w:rPr>
      <w:rFonts w:ascii="Courier New" w:hAnsi="Courier New" w:cs="Courier New"/>
      <w:sz w:val="20"/>
      <w:szCs w:val="20"/>
    </w:rPr>
  </w:style>
  <w:style w:type="character" w:customStyle="1" w:styleId="Internet-hivatkozs">
    <w:name w:val="Internet-hivatkozás"/>
    <w:basedOn w:val="Bekezdsalapbettpusa1"/>
    <w:uiPriority w:val="99"/>
    <w:rsid w:val="006E607C"/>
    <w:rPr>
      <w:rFonts w:cs="Times New Roman"/>
      <w:color w:val="0000FF"/>
      <w:u w:val="single"/>
    </w:rPr>
  </w:style>
  <w:style w:type="character" w:customStyle="1" w:styleId="Felsorolsjel">
    <w:name w:val="Felsorolásjel"/>
    <w:uiPriority w:val="99"/>
    <w:rsid w:val="006E607C"/>
    <w:rPr>
      <w:rFonts w:ascii="OpenSymbol" w:eastAsia="Times New Roman" w:hAnsi="OpenSymbol"/>
    </w:rPr>
  </w:style>
  <w:style w:type="character" w:customStyle="1" w:styleId="WW8Num5z0">
    <w:name w:val="WW8Num5z0"/>
    <w:uiPriority w:val="99"/>
    <w:rsid w:val="006E607C"/>
  </w:style>
  <w:style w:type="character" w:customStyle="1" w:styleId="WW8Num5z1">
    <w:name w:val="WW8Num5z1"/>
    <w:uiPriority w:val="99"/>
    <w:rsid w:val="006E607C"/>
  </w:style>
  <w:style w:type="character" w:customStyle="1" w:styleId="WW8Num5z2">
    <w:name w:val="WW8Num5z2"/>
    <w:uiPriority w:val="99"/>
    <w:rsid w:val="006E607C"/>
  </w:style>
  <w:style w:type="character" w:customStyle="1" w:styleId="WW8Num5z3">
    <w:name w:val="WW8Num5z3"/>
    <w:uiPriority w:val="99"/>
    <w:rsid w:val="006E607C"/>
  </w:style>
  <w:style w:type="character" w:customStyle="1" w:styleId="WW8Num5z4">
    <w:name w:val="WW8Num5z4"/>
    <w:uiPriority w:val="99"/>
    <w:rsid w:val="006E607C"/>
  </w:style>
  <w:style w:type="character" w:customStyle="1" w:styleId="WW8Num5z5">
    <w:name w:val="WW8Num5z5"/>
    <w:uiPriority w:val="99"/>
    <w:rsid w:val="006E607C"/>
  </w:style>
  <w:style w:type="character" w:customStyle="1" w:styleId="WW8Num5z6">
    <w:name w:val="WW8Num5z6"/>
    <w:uiPriority w:val="99"/>
    <w:rsid w:val="006E607C"/>
  </w:style>
  <w:style w:type="character" w:customStyle="1" w:styleId="WW8Num5z7">
    <w:name w:val="WW8Num5z7"/>
    <w:uiPriority w:val="99"/>
    <w:rsid w:val="006E607C"/>
  </w:style>
  <w:style w:type="character" w:customStyle="1" w:styleId="WW8Num5z8">
    <w:name w:val="WW8Num5z8"/>
    <w:uiPriority w:val="99"/>
    <w:rsid w:val="006E607C"/>
  </w:style>
  <w:style w:type="character" w:customStyle="1" w:styleId="Ershangslyozs1">
    <w:name w:val="Erős hangsúlyozás1"/>
    <w:uiPriority w:val="99"/>
    <w:rsid w:val="006E607C"/>
    <w:rPr>
      <w:b/>
    </w:rPr>
  </w:style>
  <w:style w:type="character" w:customStyle="1" w:styleId="Szmozsjelek">
    <w:name w:val="Számozásjelek"/>
    <w:uiPriority w:val="99"/>
    <w:rsid w:val="006E607C"/>
  </w:style>
  <w:style w:type="paragraph" w:customStyle="1" w:styleId="Cmsor">
    <w:name w:val="Címsor"/>
    <w:basedOn w:val="Norml"/>
    <w:next w:val="Szvegtrzs"/>
    <w:uiPriority w:val="99"/>
    <w:rsid w:val="006E607C"/>
    <w:pPr>
      <w:keepNext/>
      <w:spacing w:before="240" w:after="120"/>
    </w:pPr>
    <w:rPr>
      <w:rFonts w:eastAsia="Microsoft YaHei" w:cs="Mangal"/>
      <w:szCs w:val="28"/>
    </w:rPr>
  </w:style>
  <w:style w:type="paragraph" w:styleId="Szvegtrzs">
    <w:name w:val="Body Text"/>
    <w:basedOn w:val="Norml"/>
    <w:link w:val="SzvegtrzsChar"/>
    <w:uiPriority w:val="99"/>
    <w:rsid w:val="006E607C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60FC0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6E607C"/>
    <w:rPr>
      <w:rFonts w:cs="Mangal"/>
    </w:rPr>
  </w:style>
  <w:style w:type="paragraph" w:customStyle="1" w:styleId="Felirat">
    <w:name w:val="Felirat"/>
    <w:basedOn w:val="Norml"/>
    <w:uiPriority w:val="99"/>
    <w:rsid w:val="006E607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uiPriority w:val="99"/>
    <w:rsid w:val="006E607C"/>
    <w:pPr>
      <w:suppressLineNumbers/>
    </w:pPr>
    <w:rPr>
      <w:rFonts w:cs="Mangal"/>
    </w:rPr>
  </w:style>
  <w:style w:type="paragraph" w:styleId="Kpalrs">
    <w:name w:val="caption"/>
    <w:basedOn w:val="Norml"/>
    <w:uiPriority w:val="99"/>
    <w:qFormat/>
    <w:rsid w:val="006E607C"/>
    <w:pPr>
      <w:suppressLineNumbers/>
      <w:spacing w:before="120" w:after="120"/>
    </w:pPr>
    <w:rPr>
      <w:rFonts w:cs="Mangal"/>
      <w:i/>
      <w:iCs/>
    </w:rPr>
  </w:style>
  <w:style w:type="paragraph" w:styleId="lfej">
    <w:name w:val="header"/>
    <w:basedOn w:val="Norml"/>
    <w:link w:val="lfejChar"/>
    <w:uiPriority w:val="99"/>
    <w:rsid w:val="006E607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60FC0"/>
    <w:rPr>
      <w:rFonts w:ascii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rsid w:val="006E607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B60FC0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rsid w:val="006E607C"/>
    <w:pPr>
      <w:spacing w:before="280" w:after="280"/>
    </w:pPr>
    <w:rPr>
      <w:color w:val="000000"/>
    </w:rPr>
  </w:style>
  <w:style w:type="paragraph" w:customStyle="1" w:styleId="Csakszveg1">
    <w:name w:val="Csak szöveg1"/>
    <w:basedOn w:val="Norml"/>
    <w:uiPriority w:val="99"/>
    <w:rsid w:val="006E607C"/>
    <w:rPr>
      <w:rFonts w:ascii="Courier New" w:hAnsi="Courier New" w:cs="Courier New"/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6E607C"/>
    <w:pPr>
      <w:ind w:left="720"/>
      <w:contextualSpacing/>
    </w:pPr>
  </w:style>
  <w:style w:type="paragraph" w:customStyle="1" w:styleId="Kerettartalom">
    <w:name w:val="Kerettartalom"/>
    <w:basedOn w:val="Norml"/>
    <w:uiPriority w:val="99"/>
    <w:rsid w:val="006E6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ranyabekeltetes.hu" TargetMode="External"/><Relationship Id="rId13" Type="http://schemas.openxmlformats.org/officeDocument/2006/relationships/hyperlink" Target="http://www.baranyabekeltetes.h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bkik.hu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baranyabekeltetes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ekeltetes.hu/" TargetMode="External"/><Relationship Id="rId10" Type="http://schemas.openxmlformats.org/officeDocument/2006/relationships/hyperlink" Target="http://www.baranyabekeltetes.h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bkik.hu/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1494</Words>
  <Characters>10309</Characters>
  <Application>Microsoft Office Word</Application>
  <DocSecurity>0</DocSecurity>
  <Lines>85</Lines>
  <Paragraphs>23</Paragraphs>
  <ScaleCrop>false</ScaleCrop>
  <Company>KD</Company>
  <LinksUpToDate>false</LinksUpToDate>
  <CharactersWithSpaces>11780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abeck</dc:creator>
  <cp:lastModifiedBy>Somogyi Laura</cp:lastModifiedBy>
  <cp:revision>2</cp:revision>
  <cp:lastPrinted>2016-01-20T10:13:00Z</cp:lastPrinted>
  <dcterms:created xsi:type="dcterms:W3CDTF">2016-07-13T06:59:00Z</dcterms:created>
  <dcterms:modified xsi:type="dcterms:W3CDTF">2016-07-13T06:59:00Z</dcterms:modified>
</cp:coreProperties>
</file>