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E77" w:rsidRPr="000A1E77" w:rsidRDefault="000A1E77" w:rsidP="000A1E77">
      <w:pPr>
        <w:tabs>
          <w:tab w:val="left" w:pos="0"/>
        </w:tabs>
        <w:ind w:right="39"/>
        <w:jc w:val="center"/>
        <w:outlineLvl w:val="8"/>
        <w:rPr>
          <w:rFonts w:ascii="Times New Roman" w:eastAsia="Times New Roman" w:hAnsi="Times New Roman" w:cs="Times New Roman"/>
          <w:b/>
        </w:rPr>
      </w:pPr>
      <w:bookmarkStart w:id="0" w:name="_GoBack"/>
      <w:bookmarkEnd w:id="0"/>
      <w:r w:rsidRPr="000A1E77">
        <w:rPr>
          <w:rFonts w:ascii="Times New Roman" w:eastAsia="Times New Roman" w:hAnsi="Times New Roman" w:cs="Times New Roman"/>
          <w:b/>
        </w:rPr>
        <w:t>SEGÉDLET</w:t>
      </w:r>
    </w:p>
    <w:p w:rsidR="000A1E77" w:rsidRPr="000A1E77" w:rsidRDefault="000A1E77" w:rsidP="000A1E77">
      <w:pPr>
        <w:jc w:val="center"/>
        <w:rPr>
          <w:rFonts w:ascii="Times New Roman" w:eastAsia="Times New Roman" w:hAnsi="Times New Roman" w:cs="Times New Roman"/>
          <w:lang w:eastAsia="hu-HU"/>
        </w:rPr>
      </w:pPr>
      <w:r w:rsidRPr="000A1E77">
        <w:rPr>
          <w:rFonts w:ascii="Times New Roman" w:eastAsia="Times New Roman" w:hAnsi="Times New Roman" w:cs="Times New Roman"/>
          <w:lang w:eastAsia="hu-HU"/>
        </w:rPr>
        <w:t>a békéltetető testületek szakmai beszámolójának elkészítéséhez</w:t>
      </w:r>
    </w:p>
    <w:p w:rsidR="000A1E77" w:rsidRPr="000A1E77" w:rsidRDefault="000A1E77" w:rsidP="000A1E77">
      <w:pPr>
        <w:jc w:val="center"/>
        <w:rPr>
          <w:rFonts w:ascii="Times New Roman" w:eastAsia="Times New Roman" w:hAnsi="Times New Roman" w:cs="Times New Roman"/>
          <w:lang w:eastAsia="hu-HU"/>
        </w:rPr>
      </w:pPr>
      <w:r w:rsidRPr="000A1E77">
        <w:rPr>
          <w:rFonts w:ascii="Times New Roman" w:eastAsia="Times New Roman" w:hAnsi="Times New Roman" w:cs="Times New Roman"/>
          <w:lang w:eastAsia="hu-HU"/>
        </w:rPr>
        <w:t>(területi kamarák részére)</w:t>
      </w:r>
    </w:p>
    <w:p w:rsidR="000A1E77" w:rsidRPr="000A1E77" w:rsidRDefault="000A1E77" w:rsidP="000A1E77">
      <w:pPr>
        <w:jc w:val="left"/>
        <w:rPr>
          <w:rFonts w:ascii="Times New Roman" w:eastAsia="Times New Roman" w:hAnsi="Times New Roman" w:cs="Times New Roman"/>
          <w:lang w:eastAsia="hu-HU"/>
        </w:rPr>
      </w:pPr>
    </w:p>
    <w:p w:rsidR="000A1E77" w:rsidRPr="000A1E77" w:rsidRDefault="000A1E77" w:rsidP="000A1E77">
      <w:pPr>
        <w:jc w:val="left"/>
        <w:rPr>
          <w:rFonts w:ascii="Times New Roman" w:eastAsia="Times New Roman" w:hAnsi="Times New Roman" w:cs="Times New Roman"/>
          <w:lang w:eastAsia="hu-HU"/>
        </w:rPr>
      </w:pPr>
    </w:p>
    <w:tbl>
      <w:tblPr>
        <w:tblW w:w="9639" w:type="dxa"/>
        <w:tblInd w:w="7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0"/>
        <w:gridCol w:w="3969"/>
      </w:tblGrid>
      <w:tr w:rsidR="000A1E77" w:rsidRPr="000A1E77" w:rsidTr="00002898">
        <w:trPr>
          <w:cantSplit/>
        </w:trPr>
        <w:tc>
          <w:tcPr>
            <w:tcW w:w="9639" w:type="dxa"/>
            <w:gridSpan w:val="2"/>
          </w:tcPr>
          <w:p w:rsidR="000A1E77" w:rsidRPr="000A1E77" w:rsidRDefault="000A1E77" w:rsidP="000A1E77">
            <w:pPr>
              <w:jc w:val="left"/>
              <w:rPr>
                <w:rFonts w:ascii="Times New Roman" w:eastAsia="Times New Roman" w:hAnsi="Times New Roman" w:cs="Times New Roman"/>
                <w:iCs/>
                <w:lang w:eastAsia="hu-HU"/>
              </w:rPr>
            </w:pPr>
            <w:r w:rsidRPr="000A1E77">
              <w:rPr>
                <w:rFonts w:ascii="Times New Roman" w:eastAsia="Times New Roman" w:hAnsi="Times New Roman" w:cs="Times New Roman"/>
                <w:iCs/>
                <w:lang w:eastAsia="hu-HU"/>
              </w:rPr>
              <w:t>Közreműködő szervezet neve (támogatási szerződés szerint):</w:t>
            </w:r>
          </w:p>
          <w:p w:rsidR="000A1E77" w:rsidRPr="00F1706B" w:rsidRDefault="00F1706B" w:rsidP="000A1E77">
            <w:pPr>
              <w:jc w:val="left"/>
              <w:rPr>
                <w:rFonts w:ascii="Times New Roman" w:eastAsia="Times New Roman" w:hAnsi="Times New Roman" w:cs="Times New Roman"/>
                <w:b/>
                <w:iCs/>
                <w:lang w:eastAsia="hu-HU"/>
              </w:rPr>
            </w:pPr>
            <w:r w:rsidRPr="00F1706B">
              <w:rPr>
                <w:rFonts w:ascii="Times New Roman" w:eastAsia="Times New Roman" w:hAnsi="Times New Roman" w:cs="Times New Roman"/>
                <w:b/>
                <w:iCs/>
                <w:lang w:eastAsia="hu-HU"/>
              </w:rPr>
              <w:t>Veszprém Megyei Kereskedelmi és Iparkamara</w:t>
            </w:r>
          </w:p>
          <w:p w:rsidR="000A1E77" w:rsidRPr="000A1E77" w:rsidRDefault="000A1E77" w:rsidP="000A1E77">
            <w:pPr>
              <w:jc w:val="left"/>
              <w:rPr>
                <w:rFonts w:ascii="Times New Roman" w:eastAsia="Times New Roman" w:hAnsi="Times New Roman" w:cs="Times New Roman"/>
                <w:iCs/>
                <w:lang w:eastAsia="hu-HU"/>
              </w:rPr>
            </w:pPr>
          </w:p>
        </w:tc>
      </w:tr>
      <w:tr w:rsidR="000A1E77" w:rsidRPr="000A1E77" w:rsidTr="00002898">
        <w:trPr>
          <w:cantSplit/>
        </w:trPr>
        <w:tc>
          <w:tcPr>
            <w:tcW w:w="5670" w:type="dxa"/>
            <w:tcBorders>
              <w:right w:val="single" w:sz="4" w:space="0" w:color="auto"/>
            </w:tcBorders>
          </w:tcPr>
          <w:p w:rsidR="000A1E77" w:rsidRPr="000A1E77" w:rsidRDefault="000A1E77" w:rsidP="000A1E77">
            <w:pPr>
              <w:jc w:val="left"/>
              <w:rPr>
                <w:rFonts w:ascii="Times New Roman" w:eastAsia="Times New Roman" w:hAnsi="Times New Roman" w:cs="Times New Roman"/>
                <w:iCs/>
                <w:lang w:eastAsia="hu-HU"/>
              </w:rPr>
            </w:pPr>
            <w:r w:rsidRPr="000A1E77">
              <w:rPr>
                <w:rFonts w:ascii="Times New Roman" w:eastAsia="Times New Roman" w:hAnsi="Times New Roman" w:cs="Times New Roman"/>
                <w:iCs/>
                <w:lang w:eastAsia="hu-HU"/>
              </w:rPr>
              <w:t>Közreműködő szervezet címe:</w:t>
            </w:r>
          </w:p>
          <w:p w:rsidR="000A1E77" w:rsidRPr="00F1706B" w:rsidRDefault="00F1706B" w:rsidP="000A1E77">
            <w:pPr>
              <w:jc w:val="left"/>
              <w:rPr>
                <w:rFonts w:ascii="Times New Roman" w:eastAsia="Times New Roman" w:hAnsi="Times New Roman" w:cs="Times New Roman"/>
                <w:b/>
                <w:iCs/>
                <w:lang w:eastAsia="hu-HU"/>
              </w:rPr>
            </w:pPr>
            <w:r w:rsidRPr="00F1706B">
              <w:rPr>
                <w:rFonts w:ascii="Times New Roman" w:eastAsia="Times New Roman" w:hAnsi="Times New Roman" w:cs="Times New Roman"/>
                <w:b/>
                <w:iCs/>
                <w:lang w:eastAsia="hu-HU"/>
              </w:rPr>
              <w:t>8200 Veszprém, Radnóti tér 1.</w:t>
            </w:r>
          </w:p>
          <w:p w:rsidR="000A1E77" w:rsidRPr="000A1E77" w:rsidRDefault="000A1E77" w:rsidP="000A1E77">
            <w:pPr>
              <w:jc w:val="left"/>
              <w:rPr>
                <w:rFonts w:ascii="Times New Roman" w:eastAsia="Times New Roman" w:hAnsi="Times New Roman" w:cs="Times New Roman"/>
                <w:iCs/>
                <w:lang w:eastAsia="hu-HU"/>
              </w:rPr>
            </w:pPr>
          </w:p>
        </w:tc>
        <w:tc>
          <w:tcPr>
            <w:tcW w:w="3969" w:type="dxa"/>
            <w:tcBorders>
              <w:left w:val="single" w:sz="4" w:space="0" w:color="auto"/>
            </w:tcBorders>
          </w:tcPr>
          <w:p w:rsidR="000A1E77" w:rsidRPr="000A1E77" w:rsidRDefault="000A1E77" w:rsidP="000A1E77">
            <w:pPr>
              <w:jc w:val="left"/>
              <w:rPr>
                <w:rFonts w:ascii="Times New Roman" w:eastAsia="Times New Roman" w:hAnsi="Times New Roman" w:cs="Times New Roman"/>
                <w:i/>
                <w:iCs/>
                <w:lang w:eastAsia="hu-HU"/>
              </w:rPr>
            </w:pPr>
            <w:r w:rsidRPr="000A1E77">
              <w:rPr>
                <w:rFonts w:ascii="Times New Roman" w:eastAsia="Times New Roman" w:hAnsi="Times New Roman" w:cs="Times New Roman"/>
                <w:iCs/>
                <w:lang w:eastAsia="hu-HU"/>
              </w:rPr>
              <w:t>Levelezési címe:</w:t>
            </w:r>
          </w:p>
          <w:p w:rsidR="000A1E77" w:rsidRPr="00F1706B" w:rsidRDefault="00F1706B" w:rsidP="000A1E77">
            <w:pPr>
              <w:jc w:val="left"/>
              <w:rPr>
                <w:rFonts w:ascii="Times New Roman" w:eastAsia="Times New Roman" w:hAnsi="Times New Roman" w:cs="Times New Roman"/>
                <w:b/>
                <w:iCs/>
                <w:lang w:eastAsia="hu-HU"/>
              </w:rPr>
            </w:pPr>
            <w:r w:rsidRPr="00F1706B">
              <w:rPr>
                <w:rFonts w:ascii="Times New Roman" w:eastAsia="Times New Roman" w:hAnsi="Times New Roman" w:cs="Times New Roman"/>
                <w:b/>
                <w:iCs/>
                <w:lang w:eastAsia="hu-HU"/>
              </w:rPr>
              <w:t>8201 Veszprém, Pf.: 220</w:t>
            </w:r>
          </w:p>
          <w:p w:rsidR="000A1E77" w:rsidRPr="000A1E77" w:rsidRDefault="000A1E77" w:rsidP="000A1E77">
            <w:pPr>
              <w:jc w:val="left"/>
              <w:rPr>
                <w:rFonts w:ascii="Times New Roman" w:eastAsia="Times New Roman" w:hAnsi="Times New Roman" w:cs="Times New Roman"/>
                <w:iCs/>
                <w:lang w:eastAsia="hu-HU"/>
              </w:rPr>
            </w:pPr>
          </w:p>
        </w:tc>
      </w:tr>
      <w:tr w:rsidR="000A1E77" w:rsidRPr="000A1E77" w:rsidTr="00002898">
        <w:tc>
          <w:tcPr>
            <w:tcW w:w="5670" w:type="dxa"/>
          </w:tcPr>
          <w:p w:rsidR="000A1E77" w:rsidRPr="000A1E77" w:rsidRDefault="000A1E77" w:rsidP="000A1E77">
            <w:pPr>
              <w:jc w:val="left"/>
              <w:rPr>
                <w:rFonts w:ascii="Times New Roman" w:eastAsia="Times New Roman" w:hAnsi="Times New Roman" w:cs="Times New Roman"/>
                <w:iCs/>
                <w:lang w:eastAsia="hu-HU"/>
              </w:rPr>
            </w:pPr>
            <w:r w:rsidRPr="000A1E77">
              <w:rPr>
                <w:rFonts w:ascii="Times New Roman" w:eastAsia="Times New Roman" w:hAnsi="Times New Roman" w:cs="Times New Roman"/>
                <w:iCs/>
                <w:lang w:eastAsia="hu-HU"/>
              </w:rPr>
              <w:t>Közreműködő szervezet (vagy számlatulajdonos) bankszámlaszáma:</w:t>
            </w:r>
          </w:p>
          <w:p w:rsidR="000A1E77" w:rsidRPr="006418B7" w:rsidRDefault="006418B7" w:rsidP="000A1E77">
            <w:pPr>
              <w:jc w:val="left"/>
              <w:rPr>
                <w:rFonts w:ascii="Times New Roman" w:eastAsia="Times New Roman" w:hAnsi="Times New Roman" w:cs="Times New Roman"/>
                <w:b/>
                <w:iCs/>
                <w:lang w:eastAsia="hu-HU"/>
              </w:rPr>
            </w:pPr>
            <w:r w:rsidRPr="006418B7">
              <w:rPr>
                <w:rFonts w:ascii="Times New Roman" w:eastAsia="Times New Roman" w:hAnsi="Times New Roman" w:cs="Times New Roman"/>
                <w:b/>
                <w:iCs/>
                <w:lang w:eastAsia="hu-HU"/>
              </w:rPr>
              <w:t>73200189-11299204</w:t>
            </w:r>
          </w:p>
          <w:p w:rsidR="000A1E77" w:rsidRPr="000A1E77" w:rsidRDefault="000A1E77" w:rsidP="006418B7">
            <w:pPr>
              <w:jc w:val="left"/>
              <w:rPr>
                <w:rFonts w:ascii="Times New Roman" w:eastAsia="Times New Roman" w:hAnsi="Times New Roman" w:cs="Times New Roman"/>
                <w:iCs/>
                <w:lang w:eastAsia="hu-HU"/>
              </w:rPr>
            </w:pPr>
          </w:p>
        </w:tc>
        <w:tc>
          <w:tcPr>
            <w:tcW w:w="3969" w:type="dxa"/>
          </w:tcPr>
          <w:p w:rsidR="000A1E77" w:rsidRPr="000A1E77" w:rsidRDefault="000A1E77" w:rsidP="000A1E77">
            <w:pPr>
              <w:jc w:val="left"/>
              <w:rPr>
                <w:rFonts w:ascii="Times New Roman" w:eastAsia="Times New Roman" w:hAnsi="Times New Roman" w:cs="Times New Roman"/>
              </w:rPr>
            </w:pPr>
            <w:r w:rsidRPr="000A1E77">
              <w:rPr>
                <w:rFonts w:ascii="Times New Roman" w:eastAsia="Times New Roman" w:hAnsi="Times New Roman" w:cs="Times New Roman"/>
              </w:rPr>
              <w:t>Közreműködő adószáma:</w:t>
            </w:r>
          </w:p>
          <w:p w:rsidR="000A1E77" w:rsidRPr="00F1706B" w:rsidRDefault="00F1706B" w:rsidP="000A1E77">
            <w:pPr>
              <w:jc w:val="left"/>
              <w:rPr>
                <w:rFonts w:ascii="Times New Roman" w:eastAsia="Times New Roman" w:hAnsi="Times New Roman" w:cs="Times New Roman"/>
                <w:b/>
              </w:rPr>
            </w:pPr>
            <w:r w:rsidRPr="00F1706B">
              <w:rPr>
                <w:rFonts w:ascii="Times New Roman" w:eastAsia="Times New Roman" w:hAnsi="Times New Roman" w:cs="Times New Roman"/>
                <w:b/>
              </w:rPr>
              <w:t>18917815-2-19</w:t>
            </w:r>
          </w:p>
          <w:p w:rsidR="000A1E77" w:rsidRPr="000A1E77" w:rsidRDefault="000A1E77" w:rsidP="000A1E77">
            <w:pPr>
              <w:jc w:val="left"/>
              <w:rPr>
                <w:rFonts w:ascii="Times New Roman" w:eastAsia="Times New Roman" w:hAnsi="Times New Roman" w:cs="Times New Roman"/>
              </w:rPr>
            </w:pPr>
          </w:p>
        </w:tc>
      </w:tr>
      <w:tr w:rsidR="000A1E77" w:rsidRPr="000A1E77" w:rsidTr="00002898">
        <w:trPr>
          <w:trHeight w:val="452"/>
        </w:trPr>
        <w:tc>
          <w:tcPr>
            <w:tcW w:w="9639" w:type="dxa"/>
            <w:gridSpan w:val="2"/>
            <w:vAlign w:val="bottom"/>
          </w:tcPr>
          <w:p w:rsidR="000A1E77" w:rsidRPr="000A1E77" w:rsidRDefault="000A1E77" w:rsidP="006418B7">
            <w:pPr>
              <w:jc w:val="left"/>
              <w:rPr>
                <w:rFonts w:ascii="Times New Roman" w:eastAsia="Times New Roman" w:hAnsi="Times New Roman" w:cs="Times New Roman"/>
                <w:iCs/>
                <w:position w:val="-6"/>
                <w:lang w:eastAsia="hu-HU"/>
              </w:rPr>
            </w:pPr>
            <w:r w:rsidRPr="000A1E77">
              <w:rPr>
                <w:rFonts w:ascii="Times New Roman" w:eastAsia="Times New Roman" w:hAnsi="Times New Roman" w:cs="Times New Roman"/>
                <w:position w:val="-6"/>
                <w:lang w:eastAsia="hu-HU"/>
              </w:rPr>
              <w:t>Szerződés szám:</w:t>
            </w:r>
            <w:r w:rsidR="006418B7">
              <w:rPr>
                <w:rFonts w:ascii="Times New Roman" w:eastAsia="Times New Roman" w:hAnsi="Times New Roman" w:cs="Times New Roman"/>
                <w:position w:val="-6"/>
                <w:lang w:eastAsia="hu-HU"/>
              </w:rPr>
              <w:t xml:space="preserve"> </w:t>
            </w:r>
            <w:r w:rsidR="006418B7" w:rsidRPr="006418B7">
              <w:rPr>
                <w:rFonts w:ascii="Times New Roman" w:eastAsia="Times New Roman" w:hAnsi="Times New Roman" w:cs="Times New Roman"/>
                <w:b/>
                <w:position w:val="-6"/>
                <w:lang w:eastAsia="hu-HU"/>
              </w:rPr>
              <w:t>FOHÁT/352/2015-NFM_SZERZ</w:t>
            </w:r>
          </w:p>
        </w:tc>
      </w:tr>
      <w:tr w:rsidR="000A1E77" w:rsidRPr="000A1E77" w:rsidTr="00002898">
        <w:tblPrEx>
          <w:tblBorders>
            <w:insideH w:val="none" w:sz="0" w:space="0" w:color="auto"/>
          </w:tblBorders>
        </w:tblPrEx>
        <w:trPr>
          <w:cantSplit/>
        </w:trPr>
        <w:tc>
          <w:tcPr>
            <w:tcW w:w="9639" w:type="dxa"/>
            <w:gridSpan w:val="2"/>
          </w:tcPr>
          <w:p w:rsidR="000A1E77" w:rsidRPr="000A1E77" w:rsidRDefault="000A1E77" w:rsidP="000A1E77">
            <w:pPr>
              <w:jc w:val="left"/>
              <w:rPr>
                <w:rFonts w:ascii="Times New Roman" w:eastAsia="Times New Roman" w:hAnsi="Times New Roman" w:cs="Times New Roman"/>
                <w:b/>
                <w:iCs/>
                <w:lang w:eastAsia="hu-HU"/>
              </w:rPr>
            </w:pPr>
            <w:r w:rsidRPr="000A1E77">
              <w:rPr>
                <w:rFonts w:ascii="Times New Roman" w:eastAsia="Times New Roman" w:hAnsi="Times New Roman" w:cs="Times New Roman"/>
                <w:iCs/>
                <w:lang w:eastAsia="hu-HU"/>
              </w:rPr>
              <w:t xml:space="preserve">A megvalósított feladat címe: </w:t>
            </w:r>
            <w:r w:rsidRPr="000A1E77">
              <w:rPr>
                <w:rFonts w:ascii="Times New Roman" w:eastAsia="Times New Roman" w:hAnsi="Times New Roman" w:cs="Times New Roman"/>
                <w:b/>
                <w:iCs/>
                <w:lang w:eastAsia="hu-HU"/>
              </w:rPr>
              <w:t>A területi gazdasági kamarák mellett működő független békéltető testületek 2015. évi működtetési kiadásokhoz és költségekhez pénzügyi támogatás nyújtása</w:t>
            </w:r>
          </w:p>
          <w:p w:rsidR="000A1E77" w:rsidRPr="000A1E77" w:rsidRDefault="000A1E77" w:rsidP="000A1E77">
            <w:pPr>
              <w:jc w:val="left"/>
              <w:rPr>
                <w:rFonts w:ascii="Times New Roman" w:eastAsia="Times New Roman" w:hAnsi="Times New Roman" w:cs="Times New Roman"/>
                <w:iCs/>
                <w:lang w:eastAsia="hu-HU"/>
              </w:rPr>
            </w:pPr>
          </w:p>
        </w:tc>
      </w:tr>
    </w:tbl>
    <w:p w:rsidR="000A1E77" w:rsidRPr="000A1E77" w:rsidRDefault="000A1E77" w:rsidP="000A1E77">
      <w:pPr>
        <w:tabs>
          <w:tab w:val="left" w:pos="1576"/>
        </w:tabs>
        <w:jc w:val="left"/>
        <w:rPr>
          <w:rFonts w:ascii="Times New Roman" w:eastAsia="Times New Roman" w:hAnsi="Times New Roman" w:cs="Times New Roman"/>
          <w:iCs/>
          <w:lang w:eastAsia="hu-HU"/>
        </w:rPr>
      </w:pPr>
    </w:p>
    <w:p w:rsidR="000A1E77" w:rsidRPr="000A1E77" w:rsidRDefault="000A1E77" w:rsidP="000A1E77">
      <w:pPr>
        <w:jc w:val="center"/>
        <w:rPr>
          <w:rFonts w:ascii="Times New Roman" w:eastAsia="Times New Roman" w:hAnsi="Times New Roman" w:cs="Times New Roman"/>
          <w:lang w:eastAsia="hu-HU"/>
        </w:rPr>
      </w:pPr>
    </w:p>
    <w:p w:rsidR="000A1E77" w:rsidRPr="000A1E77" w:rsidRDefault="000A1E77" w:rsidP="000A1E77">
      <w:pPr>
        <w:jc w:val="center"/>
        <w:rPr>
          <w:rFonts w:ascii="Times New Roman" w:eastAsia="Times New Roman" w:hAnsi="Times New Roman" w:cs="Times New Roman"/>
          <w:b/>
          <w:lang w:eastAsia="hu-HU"/>
        </w:rPr>
      </w:pPr>
      <w:r w:rsidRPr="000A1E77">
        <w:rPr>
          <w:rFonts w:ascii="Times New Roman" w:eastAsia="Times New Roman" w:hAnsi="Times New Roman" w:cs="Times New Roman"/>
          <w:b/>
          <w:lang w:eastAsia="hu-HU"/>
        </w:rPr>
        <w:t>I. rész</w:t>
      </w:r>
    </w:p>
    <w:p w:rsidR="000A1E77" w:rsidRPr="000A1E77" w:rsidRDefault="000A1E77" w:rsidP="000A1E77">
      <w:pPr>
        <w:jc w:val="left"/>
        <w:rPr>
          <w:rFonts w:ascii="Times New Roman" w:eastAsia="Times New Roman" w:hAnsi="Times New Roman" w:cs="Times New Roman"/>
          <w:lang w:eastAsia="hu-HU"/>
        </w:rPr>
      </w:pPr>
    </w:p>
    <w:p w:rsidR="000A1E77" w:rsidRPr="000A1E77" w:rsidRDefault="000A1E77" w:rsidP="000A1E77">
      <w:pPr>
        <w:jc w:val="center"/>
        <w:rPr>
          <w:rFonts w:ascii="Times New Roman" w:eastAsia="Times New Roman" w:hAnsi="Times New Roman" w:cs="Times New Roman"/>
          <w:b/>
          <w:bCs/>
          <w:lang w:eastAsia="hu-HU"/>
        </w:rPr>
      </w:pPr>
      <w:r w:rsidRPr="000A1E77">
        <w:rPr>
          <w:rFonts w:ascii="Times New Roman" w:eastAsia="Times New Roman" w:hAnsi="Times New Roman" w:cs="Times New Roman"/>
          <w:b/>
          <w:bCs/>
          <w:lang w:eastAsia="hu-HU"/>
        </w:rPr>
        <w:t>Szakmai beszámoló</w:t>
      </w:r>
    </w:p>
    <w:p w:rsidR="000A1E77" w:rsidRPr="000A1E77" w:rsidRDefault="000A1E77" w:rsidP="000A1E77">
      <w:pPr>
        <w:jc w:val="center"/>
        <w:rPr>
          <w:rFonts w:ascii="Times New Roman" w:eastAsia="Times New Roman" w:hAnsi="Times New Roman" w:cs="Times New Roman"/>
          <w:b/>
          <w:bCs/>
          <w:lang w:eastAsia="hu-HU"/>
        </w:rPr>
      </w:pPr>
      <w:r w:rsidRPr="000A1E77">
        <w:rPr>
          <w:rFonts w:ascii="Times New Roman" w:eastAsia="Times New Roman" w:hAnsi="Times New Roman" w:cs="Times New Roman"/>
          <w:b/>
          <w:bCs/>
          <w:lang w:eastAsia="hu-HU"/>
        </w:rPr>
        <w:t>A békéltető testületek 2015. évi meghatározott finanszírozási időszakaiban végzett tevékenységéről</w:t>
      </w:r>
    </w:p>
    <w:p w:rsidR="000A1E77" w:rsidRPr="000A1E77" w:rsidRDefault="000A1E77" w:rsidP="000A1E77">
      <w:pPr>
        <w:jc w:val="left"/>
        <w:rPr>
          <w:rFonts w:ascii="Times New Roman" w:eastAsia="Times New Roman" w:hAnsi="Times New Roman" w:cs="Times New Roman"/>
          <w:b/>
          <w:lang w:eastAsia="hu-HU"/>
        </w:rPr>
      </w:pPr>
    </w:p>
    <w:tbl>
      <w:tblPr>
        <w:tblW w:w="9640"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4"/>
        <w:gridCol w:w="4856"/>
      </w:tblGrid>
      <w:tr w:rsidR="000A1E77" w:rsidRPr="000A1E77" w:rsidTr="00002898">
        <w:trPr>
          <w:cantSplit/>
        </w:trPr>
        <w:tc>
          <w:tcPr>
            <w:tcW w:w="4784" w:type="dxa"/>
          </w:tcPr>
          <w:p w:rsidR="000A1E77" w:rsidRPr="000A1E77" w:rsidRDefault="000A1E77" w:rsidP="000A1E77">
            <w:pPr>
              <w:overflowPunct w:val="0"/>
              <w:autoSpaceDE w:val="0"/>
              <w:autoSpaceDN w:val="0"/>
              <w:adjustRightInd w:val="0"/>
              <w:ind w:left="57"/>
              <w:jc w:val="left"/>
              <w:textAlignment w:val="baseline"/>
              <w:rPr>
                <w:rFonts w:ascii="Times New Roman" w:eastAsia="Times New Roman" w:hAnsi="Times New Roman" w:cs="Times New Roman"/>
              </w:rPr>
            </w:pPr>
            <w:r w:rsidRPr="000A1E77">
              <w:rPr>
                <w:rFonts w:ascii="Times New Roman" w:eastAsia="Times New Roman" w:hAnsi="Times New Roman" w:cs="Times New Roman"/>
              </w:rPr>
              <w:t>A szakmai beszámolót készítő személy neve:</w:t>
            </w:r>
          </w:p>
          <w:p w:rsidR="000A1E77" w:rsidRPr="000A1E77" w:rsidRDefault="000A1E77" w:rsidP="000A1E77">
            <w:pPr>
              <w:overflowPunct w:val="0"/>
              <w:autoSpaceDE w:val="0"/>
              <w:autoSpaceDN w:val="0"/>
              <w:adjustRightInd w:val="0"/>
              <w:ind w:left="57"/>
              <w:jc w:val="left"/>
              <w:textAlignment w:val="baseline"/>
              <w:rPr>
                <w:rFonts w:ascii="Times New Roman" w:eastAsia="Times New Roman" w:hAnsi="Times New Roman" w:cs="Times New Roman"/>
              </w:rPr>
            </w:pPr>
          </w:p>
          <w:p w:rsidR="000A1E77" w:rsidRPr="000A1E77" w:rsidRDefault="000A1E77" w:rsidP="000A1E77">
            <w:pPr>
              <w:jc w:val="left"/>
              <w:rPr>
                <w:rFonts w:ascii="Times New Roman" w:eastAsia="Times New Roman" w:hAnsi="Times New Roman" w:cs="Times New Roman"/>
                <w:bCs/>
                <w:i/>
                <w:iCs/>
                <w:lang w:eastAsia="hu-HU"/>
              </w:rPr>
            </w:pPr>
            <w:r w:rsidRPr="000A1E77">
              <w:rPr>
                <w:rFonts w:ascii="Times New Roman" w:eastAsia="Times New Roman" w:hAnsi="Times New Roman" w:cs="Times New Roman"/>
                <w:bCs/>
                <w:i/>
                <w:iCs/>
                <w:lang w:eastAsia="hu-HU"/>
              </w:rPr>
              <w:t>dr. Vasvári Csaba</w:t>
            </w:r>
          </w:p>
        </w:tc>
        <w:tc>
          <w:tcPr>
            <w:tcW w:w="4856" w:type="dxa"/>
          </w:tcPr>
          <w:p w:rsidR="000A1E77" w:rsidRPr="000A1E77" w:rsidRDefault="000A1E77" w:rsidP="000A1E77">
            <w:pPr>
              <w:jc w:val="left"/>
              <w:rPr>
                <w:rFonts w:ascii="Times New Roman" w:eastAsia="Times New Roman" w:hAnsi="Times New Roman" w:cs="Times New Roman"/>
                <w:bCs/>
                <w:i/>
                <w:iCs/>
                <w:lang w:eastAsia="hu-HU"/>
              </w:rPr>
            </w:pPr>
            <w:r w:rsidRPr="000A1E77">
              <w:rPr>
                <w:rFonts w:ascii="Times New Roman" w:eastAsia="Times New Roman" w:hAnsi="Times New Roman" w:cs="Times New Roman"/>
                <w:bCs/>
                <w:i/>
                <w:iCs/>
                <w:lang w:eastAsia="hu-HU"/>
              </w:rPr>
              <w:t>A beszámolót készítő személy telefonszáma:</w:t>
            </w:r>
          </w:p>
          <w:p w:rsidR="000A1E77" w:rsidRPr="000A1E77" w:rsidRDefault="000A1E77" w:rsidP="000A1E77">
            <w:pPr>
              <w:jc w:val="left"/>
              <w:rPr>
                <w:rFonts w:ascii="Times New Roman" w:eastAsia="Times New Roman" w:hAnsi="Times New Roman" w:cs="Times New Roman"/>
                <w:bCs/>
                <w:i/>
                <w:iCs/>
                <w:lang w:eastAsia="hu-HU"/>
              </w:rPr>
            </w:pPr>
          </w:p>
          <w:p w:rsidR="000A1E77" w:rsidRPr="000A1E77" w:rsidRDefault="000A1E77" w:rsidP="000A1E77">
            <w:pPr>
              <w:jc w:val="left"/>
              <w:rPr>
                <w:rFonts w:ascii="Times New Roman" w:eastAsia="Times New Roman" w:hAnsi="Times New Roman" w:cs="Times New Roman"/>
                <w:bCs/>
                <w:i/>
                <w:iCs/>
                <w:lang w:eastAsia="hu-HU"/>
              </w:rPr>
            </w:pPr>
            <w:r w:rsidRPr="000A1E77">
              <w:rPr>
                <w:rFonts w:ascii="Times New Roman" w:eastAsia="Times New Roman" w:hAnsi="Times New Roman" w:cs="Times New Roman"/>
                <w:bCs/>
                <w:i/>
                <w:iCs/>
                <w:lang w:eastAsia="hu-HU"/>
              </w:rPr>
              <w:t>0630-6080270</w:t>
            </w:r>
          </w:p>
        </w:tc>
      </w:tr>
      <w:tr w:rsidR="000A1E77" w:rsidRPr="000A1E77" w:rsidTr="00002898">
        <w:trPr>
          <w:cantSplit/>
        </w:trPr>
        <w:tc>
          <w:tcPr>
            <w:tcW w:w="4784" w:type="dxa"/>
          </w:tcPr>
          <w:p w:rsidR="000A1E77" w:rsidRPr="000A1E77" w:rsidRDefault="000A1E77" w:rsidP="000A1E77">
            <w:pPr>
              <w:jc w:val="left"/>
              <w:rPr>
                <w:rFonts w:ascii="Times New Roman" w:eastAsia="Times New Roman" w:hAnsi="Times New Roman" w:cs="Times New Roman"/>
                <w:bCs/>
                <w:i/>
                <w:iCs/>
                <w:lang w:eastAsia="hu-HU"/>
              </w:rPr>
            </w:pPr>
          </w:p>
        </w:tc>
        <w:tc>
          <w:tcPr>
            <w:tcW w:w="4856" w:type="dxa"/>
          </w:tcPr>
          <w:p w:rsidR="000A1E77" w:rsidRPr="000A1E77" w:rsidRDefault="000A1E77" w:rsidP="000A1E77">
            <w:pPr>
              <w:jc w:val="left"/>
              <w:rPr>
                <w:rFonts w:ascii="Times New Roman" w:eastAsia="Times New Roman" w:hAnsi="Times New Roman" w:cs="Times New Roman"/>
                <w:bCs/>
                <w:i/>
                <w:iCs/>
                <w:lang w:eastAsia="hu-HU"/>
              </w:rPr>
            </w:pPr>
          </w:p>
        </w:tc>
      </w:tr>
    </w:tbl>
    <w:p w:rsidR="000A1E77" w:rsidRDefault="000A1E77" w:rsidP="00A62422">
      <w:pPr>
        <w:tabs>
          <w:tab w:val="left" w:pos="5490"/>
        </w:tabs>
        <w:rPr>
          <w:rFonts w:ascii="Times New Roman" w:eastAsia="Times New Roman" w:hAnsi="Times New Roman" w:cs="Times New Roman"/>
          <w:bCs/>
          <w:i/>
          <w:iCs/>
          <w:sz w:val="28"/>
          <w:szCs w:val="28"/>
          <w:u w:val="single"/>
          <w:lang w:eastAsia="hu-HU"/>
        </w:rPr>
      </w:pPr>
    </w:p>
    <w:p w:rsidR="00A62422" w:rsidRPr="000A1E77" w:rsidRDefault="00A62422" w:rsidP="006418B7">
      <w:pPr>
        <w:tabs>
          <w:tab w:val="left" w:pos="5490"/>
        </w:tabs>
        <w:jc w:val="left"/>
        <w:rPr>
          <w:rFonts w:ascii="Times New Roman" w:eastAsia="Times New Roman" w:hAnsi="Times New Roman" w:cs="Times New Roman"/>
          <w:b/>
          <w:bCs/>
          <w:i/>
          <w:iCs/>
          <w:sz w:val="28"/>
          <w:szCs w:val="28"/>
          <w:u w:val="single"/>
          <w:lang w:eastAsia="hu-HU"/>
        </w:rPr>
      </w:pPr>
      <w:r w:rsidRPr="000A1E77">
        <w:rPr>
          <w:rFonts w:ascii="Times New Roman" w:eastAsia="Times New Roman" w:hAnsi="Times New Roman" w:cs="Times New Roman"/>
          <w:b/>
          <w:bCs/>
          <w:i/>
          <w:iCs/>
          <w:sz w:val="28"/>
          <w:szCs w:val="28"/>
          <w:u w:val="single"/>
          <w:lang w:eastAsia="hu-HU"/>
        </w:rPr>
        <w:t>1. Ismertesse 2014. képest a testületben történt lényegesebb változásokat!</w:t>
      </w:r>
      <w:r w:rsidR="006418B7">
        <w:rPr>
          <w:rFonts w:ascii="Times New Roman" w:eastAsia="Times New Roman" w:hAnsi="Times New Roman" w:cs="Times New Roman"/>
          <w:b/>
          <w:bCs/>
          <w:i/>
          <w:iCs/>
          <w:sz w:val="28"/>
          <w:szCs w:val="28"/>
          <w:u w:val="single"/>
          <w:lang w:eastAsia="hu-HU"/>
        </w:rPr>
        <w:br/>
      </w:r>
      <w:r w:rsidRPr="000A1E77">
        <w:rPr>
          <w:rFonts w:ascii="Times New Roman" w:eastAsia="Times New Roman" w:hAnsi="Times New Roman" w:cs="Times New Roman"/>
          <w:b/>
          <w:bCs/>
          <w:i/>
          <w:iCs/>
          <w:sz w:val="28"/>
          <w:szCs w:val="28"/>
          <w:u w:val="single"/>
          <w:lang w:eastAsia="hu-HU"/>
        </w:rPr>
        <w:t>(A testület létszáma, összetétele, működési feltételei stb.)</w:t>
      </w:r>
    </w:p>
    <w:p w:rsidR="00A62422" w:rsidRPr="00207A1C" w:rsidRDefault="00A62422" w:rsidP="00A62422">
      <w:pPr>
        <w:tabs>
          <w:tab w:val="left" w:pos="5490"/>
        </w:tabs>
        <w:rPr>
          <w:rFonts w:ascii="Times New Roman" w:eastAsia="Times New Roman" w:hAnsi="Times New Roman" w:cs="Times New Roman"/>
          <w:b/>
          <w:bCs/>
          <w:iCs/>
          <w:lang w:eastAsia="hu-HU"/>
        </w:rPr>
      </w:pPr>
    </w:p>
    <w:p w:rsidR="00A62422" w:rsidRPr="00153388" w:rsidRDefault="00A62422" w:rsidP="00A62422">
      <w:pPr>
        <w:tabs>
          <w:tab w:val="left" w:pos="5490"/>
        </w:tabs>
        <w:rPr>
          <w:rFonts w:ascii="Times New Roman" w:eastAsia="Times New Roman" w:hAnsi="Times New Roman" w:cs="Times New Roman"/>
          <w:bCs/>
          <w:iCs/>
          <w:lang w:eastAsia="hu-HU"/>
        </w:rPr>
      </w:pPr>
      <w:r w:rsidRPr="00153388">
        <w:rPr>
          <w:rFonts w:ascii="Times New Roman" w:eastAsia="Times New Roman" w:hAnsi="Times New Roman" w:cs="Times New Roman"/>
          <w:b/>
          <w:bCs/>
          <w:iCs/>
          <w:lang w:eastAsia="hu-HU"/>
        </w:rPr>
        <w:t xml:space="preserve">A testületben 2015 év folyamán létszámváltozás nem történt, </w:t>
      </w:r>
      <w:r w:rsidRPr="00153388">
        <w:rPr>
          <w:rFonts w:ascii="Times New Roman" w:eastAsia="Times New Roman" w:hAnsi="Times New Roman" w:cs="Times New Roman"/>
          <w:bCs/>
          <w:iCs/>
          <w:lang w:eastAsia="hu-HU"/>
        </w:rPr>
        <w:t xml:space="preserve">a 7-7 személy év végéig tagja maradt a testületnek. </w:t>
      </w:r>
    </w:p>
    <w:p w:rsidR="00A62422" w:rsidRPr="00153388" w:rsidRDefault="00A62422" w:rsidP="00A62422">
      <w:pPr>
        <w:tabs>
          <w:tab w:val="left" w:pos="5490"/>
        </w:tabs>
        <w:rPr>
          <w:rFonts w:ascii="Times New Roman" w:eastAsia="Times New Roman" w:hAnsi="Times New Roman" w:cs="Times New Roman"/>
          <w:b/>
          <w:bCs/>
          <w:iCs/>
          <w:lang w:eastAsia="hu-HU"/>
        </w:rPr>
      </w:pPr>
    </w:p>
    <w:p w:rsidR="00A62422" w:rsidRPr="00153388" w:rsidRDefault="00A62422" w:rsidP="00A62422">
      <w:pPr>
        <w:tabs>
          <w:tab w:val="left" w:pos="5490"/>
        </w:tabs>
        <w:rPr>
          <w:rFonts w:ascii="Times New Roman" w:eastAsia="Times New Roman" w:hAnsi="Times New Roman" w:cs="Times New Roman"/>
          <w:bCs/>
          <w:iCs/>
          <w:lang w:eastAsia="hu-HU"/>
        </w:rPr>
      </w:pPr>
      <w:r w:rsidRPr="00153388">
        <w:rPr>
          <w:rFonts w:ascii="Times New Roman" w:eastAsia="Times New Roman" w:hAnsi="Times New Roman" w:cs="Times New Roman"/>
          <w:b/>
          <w:bCs/>
          <w:iCs/>
          <w:lang w:eastAsia="hu-HU"/>
        </w:rPr>
        <w:t xml:space="preserve">A testület elnöke, dr. Óvári László, 2015. április 30. napjával lemondott a posztról, </w:t>
      </w:r>
      <w:r w:rsidRPr="00153388">
        <w:rPr>
          <w:rFonts w:ascii="Times New Roman" w:eastAsia="Times New Roman" w:hAnsi="Times New Roman" w:cs="Times New Roman"/>
          <w:bCs/>
          <w:iCs/>
          <w:lang w:eastAsia="hu-HU"/>
        </w:rPr>
        <w:t>és visszavonult a részvételtől is. 2015. május 1. napjával dr. Vasvári Csab</w:t>
      </w:r>
      <w:r w:rsidR="006418B7">
        <w:rPr>
          <w:rFonts w:ascii="Times New Roman" w:eastAsia="Times New Roman" w:hAnsi="Times New Roman" w:cs="Times New Roman"/>
          <w:bCs/>
          <w:iCs/>
          <w:lang w:eastAsia="hu-HU"/>
        </w:rPr>
        <w:t>át</w:t>
      </w:r>
      <w:r w:rsidRPr="00153388">
        <w:rPr>
          <w:rFonts w:ascii="Times New Roman" w:eastAsia="Times New Roman" w:hAnsi="Times New Roman" w:cs="Times New Roman"/>
          <w:bCs/>
          <w:iCs/>
          <w:lang w:eastAsia="hu-HU"/>
        </w:rPr>
        <w:t xml:space="preserve"> addigi elnökhelyettest egyhangúlag választották meg a funkcióra.</w:t>
      </w:r>
    </w:p>
    <w:p w:rsidR="00A62422" w:rsidRPr="00153388" w:rsidRDefault="00A62422" w:rsidP="00A62422">
      <w:pPr>
        <w:tabs>
          <w:tab w:val="left" w:pos="5490"/>
        </w:tabs>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A testület aktív tagjainak száma ezzel a változással ismét csökkent – de az év végén lejáró mandátumra tekintettel nem került sor évközi tagcserére.</w:t>
      </w:r>
    </w:p>
    <w:p w:rsidR="00A62422" w:rsidRPr="00153388" w:rsidRDefault="00A62422" w:rsidP="00A62422">
      <w:pPr>
        <w:tabs>
          <w:tab w:val="left" w:pos="5490"/>
        </w:tabs>
        <w:rPr>
          <w:rFonts w:ascii="Times New Roman" w:eastAsia="Times New Roman" w:hAnsi="Times New Roman" w:cs="Times New Roman"/>
          <w:b/>
          <w:bCs/>
          <w:iCs/>
          <w:lang w:eastAsia="hu-HU"/>
        </w:rPr>
      </w:pPr>
    </w:p>
    <w:p w:rsidR="00A62422" w:rsidRPr="00153388" w:rsidRDefault="00A62422" w:rsidP="00A62422">
      <w:pPr>
        <w:tabs>
          <w:tab w:val="left" w:pos="5490"/>
        </w:tabs>
        <w:rPr>
          <w:rFonts w:ascii="Times New Roman" w:eastAsia="Times New Roman" w:hAnsi="Times New Roman" w:cs="Times New Roman"/>
          <w:b/>
          <w:bCs/>
          <w:i/>
          <w:iCs/>
          <w:lang w:eastAsia="hu-HU"/>
        </w:rPr>
      </w:pPr>
      <w:r w:rsidRPr="00153388">
        <w:rPr>
          <w:rFonts w:ascii="Times New Roman" w:eastAsia="Times New Roman" w:hAnsi="Times New Roman" w:cs="Times New Roman"/>
          <w:b/>
          <w:bCs/>
          <w:iCs/>
          <w:lang w:eastAsia="hu-HU"/>
        </w:rPr>
        <w:t xml:space="preserve">A működési feltételekben változás nem volt, a kamara a szükséges </w:t>
      </w:r>
      <w:r w:rsidRPr="00153388">
        <w:rPr>
          <w:rFonts w:ascii="Times New Roman" w:eastAsia="Times New Roman" w:hAnsi="Times New Roman" w:cs="Times New Roman"/>
          <w:b/>
          <w:bCs/>
          <w:i/>
          <w:iCs/>
          <w:lang w:eastAsia="hu-HU"/>
        </w:rPr>
        <w:t>feltételeket jó színvonalon biztosította.</w:t>
      </w:r>
    </w:p>
    <w:p w:rsidR="00A62422" w:rsidRPr="00153388" w:rsidRDefault="00A62422" w:rsidP="00A62422">
      <w:pPr>
        <w:tabs>
          <w:tab w:val="left" w:pos="5490"/>
        </w:tabs>
        <w:rPr>
          <w:rFonts w:ascii="Times New Roman" w:eastAsia="Times New Roman" w:hAnsi="Times New Roman" w:cs="Times New Roman"/>
          <w:b/>
          <w:bCs/>
          <w:iCs/>
          <w:lang w:eastAsia="hu-HU"/>
        </w:rPr>
      </w:pPr>
    </w:p>
    <w:p w:rsidR="00A62422" w:rsidRPr="00153388" w:rsidRDefault="00A62422" w:rsidP="00A62422">
      <w:pPr>
        <w:tabs>
          <w:tab w:val="left" w:pos="5490"/>
        </w:tabs>
        <w:rPr>
          <w:rFonts w:ascii="Times New Roman" w:eastAsia="Times New Roman" w:hAnsi="Times New Roman" w:cs="Times New Roman"/>
          <w:b/>
          <w:bCs/>
          <w:iCs/>
          <w:lang w:eastAsia="hu-HU"/>
        </w:rPr>
      </w:pPr>
      <w:r w:rsidRPr="00153388">
        <w:rPr>
          <w:rFonts w:ascii="Times New Roman" w:eastAsia="Times New Roman" w:hAnsi="Times New Roman" w:cs="Times New Roman"/>
          <w:b/>
          <w:bCs/>
          <w:iCs/>
          <w:lang w:eastAsia="hu-HU"/>
        </w:rPr>
        <w:lastRenderedPageBreak/>
        <w:t>A költségvetési támogatás kisebb mértékű átcsoportosítására</w:t>
      </w:r>
      <w:r w:rsidR="00153388">
        <w:rPr>
          <w:rFonts w:ascii="Times New Roman" w:eastAsia="Times New Roman" w:hAnsi="Times New Roman" w:cs="Times New Roman"/>
          <w:b/>
          <w:bCs/>
          <w:iCs/>
          <w:lang w:eastAsia="hu-HU"/>
        </w:rPr>
        <w:t xml:space="preserve"> vonatkozó írásbeli kérelmünkre, csak szóban </w:t>
      </w:r>
      <w:r w:rsidR="00153388">
        <w:rPr>
          <w:rFonts w:ascii="Times New Roman" w:eastAsia="Times New Roman" w:hAnsi="Times New Roman" w:cs="Times New Roman"/>
          <w:b/>
          <w:bCs/>
          <w:iCs/>
          <w:sz w:val="22"/>
          <w:szCs w:val="22"/>
          <w:lang w:eastAsia="hu-HU"/>
        </w:rPr>
        <w:t>kaptunk</w:t>
      </w:r>
      <w:r w:rsidRPr="000A1E77">
        <w:rPr>
          <w:rFonts w:ascii="Times New Roman" w:eastAsia="Times New Roman" w:hAnsi="Times New Roman" w:cs="Times New Roman"/>
          <w:b/>
          <w:bCs/>
          <w:iCs/>
          <w:sz w:val="22"/>
          <w:szCs w:val="22"/>
          <w:lang w:eastAsia="hu-HU"/>
        </w:rPr>
        <w:t xml:space="preserve"> elutasító választ, aminek az lett a következménye, hogy soha nem látott arányban kellett egyedül eljáró t</w:t>
      </w:r>
      <w:r w:rsidR="000A1E77" w:rsidRPr="000A1E77">
        <w:rPr>
          <w:rFonts w:ascii="Times New Roman" w:eastAsia="Times New Roman" w:hAnsi="Times New Roman" w:cs="Times New Roman"/>
          <w:b/>
          <w:bCs/>
          <w:iCs/>
          <w:sz w:val="22"/>
          <w:szCs w:val="22"/>
          <w:lang w:eastAsia="hu-HU"/>
        </w:rPr>
        <w:t>agként megoldani a feladatokat</w:t>
      </w:r>
      <w:r w:rsidR="00F10829">
        <w:rPr>
          <w:rFonts w:ascii="Times New Roman" w:eastAsia="Times New Roman" w:hAnsi="Times New Roman" w:cs="Times New Roman"/>
          <w:b/>
          <w:bCs/>
          <w:iCs/>
          <w:sz w:val="22"/>
          <w:szCs w:val="22"/>
          <w:lang w:eastAsia="hu-HU"/>
        </w:rPr>
        <w:t xml:space="preserve"> (</w:t>
      </w:r>
      <w:r w:rsidR="00F10829" w:rsidRPr="00F10829">
        <w:rPr>
          <w:rFonts w:ascii="Times New Roman" w:eastAsia="Times New Roman" w:hAnsi="Times New Roman" w:cs="Times New Roman"/>
          <w:bCs/>
          <w:iCs/>
          <w:sz w:val="22"/>
          <w:szCs w:val="22"/>
          <w:lang w:eastAsia="hu-HU"/>
        </w:rPr>
        <w:t>ez</w:t>
      </w:r>
      <w:r w:rsidR="00F10829">
        <w:rPr>
          <w:rFonts w:ascii="Times New Roman" w:eastAsia="Times New Roman" w:hAnsi="Times New Roman" w:cs="Times New Roman"/>
          <w:bCs/>
          <w:iCs/>
          <w:sz w:val="22"/>
          <w:szCs w:val="22"/>
          <w:lang w:eastAsia="hu-HU"/>
        </w:rPr>
        <w:t>t bemutatja a 3. számú melléklet is)</w:t>
      </w:r>
      <w:r w:rsidR="000A1E77" w:rsidRPr="000A1E77">
        <w:rPr>
          <w:rFonts w:ascii="Times New Roman" w:eastAsia="Times New Roman" w:hAnsi="Times New Roman" w:cs="Times New Roman"/>
          <w:b/>
          <w:bCs/>
          <w:iCs/>
          <w:sz w:val="22"/>
          <w:szCs w:val="22"/>
          <w:lang w:eastAsia="hu-HU"/>
        </w:rPr>
        <w:t>.</w:t>
      </w:r>
    </w:p>
    <w:p w:rsidR="00A62422" w:rsidRPr="00207A1C" w:rsidRDefault="00A62422" w:rsidP="00A62422">
      <w:pPr>
        <w:tabs>
          <w:tab w:val="left" w:pos="5490"/>
        </w:tabs>
        <w:rPr>
          <w:rFonts w:ascii="Times New Roman" w:eastAsia="Times New Roman" w:hAnsi="Times New Roman" w:cs="Times New Roman"/>
          <w:bCs/>
          <w:iCs/>
          <w:lang w:eastAsia="hu-HU"/>
        </w:rPr>
      </w:pPr>
    </w:p>
    <w:p w:rsidR="00F10829" w:rsidRDefault="00A62422" w:rsidP="006418B7">
      <w:pPr>
        <w:tabs>
          <w:tab w:val="left" w:pos="5490"/>
        </w:tabs>
        <w:jc w:val="left"/>
        <w:rPr>
          <w:rFonts w:ascii="Times New Roman" w:eastAsia="Times New Roman" w:hAnsi="Times New Roman" w:cs="Times New Roman"/>
          <w:b/>
          <w:bCs/>
          <w:i/>
          <w:iCs/>
          <w:sz w:val="28"/>
          <w:szCs w:val="28"/>
          <w:u w:val="single"/>
          <w:lang w:eastAsia="hu-HU"/>
        </w:rPr>
      </w:pPr>
      <w:r w:rsidRPr="000A1E77">
        <w:rPr>
          <w:rFonts w:ascii="Times New Roman" w:eastAsia="Times New Roman" w:hAnsi="Times New Roman" w:cs="Times New Roman"/>
          <w:b/>
          <w:bCs/>
          <w:i/>
          <w:iCs/>
          <w:sz w:val="28"/>
          <w:szCs w:val="28"/>
          <w:u w:val="single"/>
          <w:lang w:eastAsia="hu-HU"/>
        </w:rPr>
        <w:t>2. Szövegesen értékelje a statisztikai adatokat!</w:t>
      </w:r>
    </w:p>
    <w:p w:rsidR="00A62422" w:rsidRPr="00F10829" w:rsidRDefault="00A62422" w:rsidP="006418B7">
      <w:pPr>
        <w:tabs>
          <w:tab w:val="left" w:pos="5490"/>
        </w:tabs>
        <w:jc w:val="left"/>
        <w:rPr>
          <w:rFonts w:ascii="Times New Roman" w:eastAsia="Times New Roman" w:hAnsi="Times New Roman" w:cs="Times New Roman"/>
          <w:b/>
          <w:bCs/>
          <w:i/>
          <w:iCs/>
          <w:u w:val="single"/>
          <w:lang w:eastAsia="hu-HU"/>
        </w:rPr>
      </w:pPr>
      <w:r w:rsidRPr="00F10829">
        <w:rPr>
          <w:rFonts w:ascii="Times New Roman" w:eastAsia="Times New Roman" w:hAnsi="Times New Roman" w:cs="Times New Roman"/>
          <w:b/>
          <w:bCs/>
          <w:i/>
          <w:iCs/>
          <w:u w:val="single"/>
          <w:lang w:eastAsia="hu-HU"/>
        </w:rPr>
        <w:t>A 2.1.-2.7. kérdések megválaszolása során mutassa be az adatok mögötti eseményeket, tapasztalatokat, változások okait.</w:t>
      </w:r>
    </w:p>
    <w:p w:rsidR="000A1E77" w:rsidRPr="000A1E77" w:rsidRDefault="000A1E77" w:rsidP="000A1E77">
      <w:pPr>
        <w:tabs>
          <w:tab w:val="left" w:pos="5490"/>
        </w:tabs>
        <w:jc w:val="center"/>
        <w:rPr>
          <w:rFonts w:ascii="Times New Roman" w:eastAsia="Times New Roman" w:hAnsi="Times New Roman" w:cs="Times New Roman"/>
          <w:b/>
          <w:bCs/>
          <w:i/>
          <w:iCs/>
          <w:sz w:val="28"/>
          <w:szCs w:val="28"/>
          <w:u w:val="single"/>
          <w:lang w:eastAsia="hu-HU"/>
        </w:rPr>
      </w:pPr>
    </w:p>
    <w:p w:rsidR="00232A6C" w:rsidRPr="00F10829" w:rsidRDefault="00A62422" w:rsidP="006418B7">
      <w:pPr>
        <w:rPr>
          <w:rFonts w:ascii="Times New Roman" w:eastAsia="Times New Roman" w:hAnsi="Times New Roman" w:cs="Times New Roman"/>
          <w:bCs/>
          <w:i/>
          <w:iCs/>
          <w:u w:val="single"/>
          <w:lang w:eastAsia="hu-HU"/>
        </w:rPr>
      </w:pPr>
      <w:r w:rsidRPr="00F10829">
        <w:rPr>
          <w:rFonts w:ascii="Times New Roman" w:eastAsia="Times New Roman" w:hAnsi="Times New Roman" w:cs="Times New Roman"/>
          <w:b/>
          <w:bCs/>
          <w:i/>
          <w:iCs/>
          <w:u w:val="single"/>
          <w:lang w:eastAsia="hu-HU"/>
        </w:rPr>
        <w:t>2.1.</w:t>
      </w:r>
      <w:r w:rsidRPr="00F10829">
        <w:rPr>
          <w:rFonts w:ascii="Times New Roman" w:eastAsia="Times New Roman" w:hAnsi="Times New Roman" w:cs="Times New Roman"/>
          <w:bCs/>
          <w:i/>
          <w:iCs/>
          <w:u w:val="single"/>
          <w:lang w:eastAsia="hu-HU"/>
        </w:rPr>
        <w:t xml:space="preserve"> A ügyek tárgya szerinti bontásának megfelelően ismertesse a főbb panasz okokat, milyen panaszok mögött húzódnak meg valószínűsíthetően nagyobb fogyasztói érdeksérelemre utaló jelenségek, e tekintetben volt e változás az előző évhez képest, előfordultak-e, s ha igen milyen korábban nem tapasztalt problémák, panaszok.</w:t>
      </w:r>
    </w:p>
    <w:p w:rsidR="00A62422" w:rsidRPr="00F10829" w:rsidRDefault="00A62422" w:rsidP="006418B7">
      <w:pPr>
        <w:rPr>
          <w:rFonts w:ascii="Times New Roman" w:eastAsia="Times New Roman" w:hAnsi="Times New Roman" w:cs="Times New Roman"/>
          <w:bCs/>
          <w:i/>
          <w:iCs/>
          <w:u w:val="single"/>
          <w:lang w:eastAsia="hu-HU"/>
        </w:rPr>
      </w:pPr>
      <w:r w:rsidRPr="00F10829">
        <w:rPr>
          <w:rFonts w:ascii="Times New Roman" w:eastAsia="Times New Roman" w:hAnsi="Times New Roman" w:cs="Times New Roman"/>
          <w:bCs/>
          <w:i/>
          <w:iCs/>
          <w:u w:val="single"/>
          <w:lang w:eastAsia="hu-HU"/>
        </w:rPr>
        <w:t>A problémák leküzdése érdekében milyen intézkedéseket javasolnak (jogszabály-módosítás, egyeztetés az érintett szakmai érdekképviseleti szervezetekkel, Fogyasztók tájékoztatása, fokozottabb hatósági fellépés, stb.)? Ehhez kapcsolódóan mutassa be, hogy milyen ajánlásokat fogalmazott meg a testület arra vonatkozóan, hogy a jövőben az ilyen típusú problémák ne forduljanak elő.</w:t>
      </w:r>
    </w:p>
    <w:p w:rsidR="00A62422" w:rsidRPr="00207A1C" w:rsidRDefault="00A62422" w:rsidP="00A62422">
      <w:pPr>
        <w:ind w:left="567"/>
        <w:rPr>
          <w:rFonts w:ascii="Times New Roman" w:eastAsia="Times New Roman" w:hAnsi="Times New Roman" w:cs="Times New Roman"/>
          <w:bCs/>
          <w:iCs/>
          <w:lang w:eastAsia="hu-HU"/>
        </w:rPr>
      </w:pPr>
    </w:p>
    <w:p w:rsidR="00A62422" w:rsidRPr="00153388" w:rsidRDefault="00A62422" w:rsidP="00A62422">
      <w:pPr>
        <w:autoSpaceDE w:val="0"/>
        <w:autoSpaceDN w:val="0"/>
        <w:adjustRightInd w:val="0"/>
        <w:ind w:left="142"/>
        <w:rPr>
          <w:rFonts w:ascii="Times New Roman" w:eastAsia="Calibri" w:hAnsi="Times New Roman" w:cs="Times New Roman"/>
          <w:b/>
        </w:rPr>
      </w:pPr>
      <w:r w:rsidRPr="00153388">
        <w:rPr>
          <w:rFonts w:ascii="Times New Roman" w:eastAsia="Calibri" w:hAnsi="Times New Roman" w:cs="Times New Roman"/>
          <w:b/>
        </w:rPr>
        <w:t>2.1.1. Az év során 343 ügy érkezett a testülethez.</w:t>
      </w:r>
      <w:r w:rsidR="00ED1737" w:rsidRPr="00153388">
        <w:rPr>
          <w:rFonts w:ascii="Times New Roman" w:eastAsia="Calibri" w:hAnsi="Times New Roman" w:cs="Times New Roman"/>
          <w:b/>
        </w:rPr>
        <w:t xml:space="preserve"> A befejezett ügyek száma 317 volt.</w:t>
      </w:r>
    </w:p>
    <w:p w:rsidR="00ED1737" w:rsidRPr="000A1E77" w:rsidRDefault="00ED1737" w:rsidP="00A62422">
      <w:pPr>
        <w:autoSpaceDE w:val="0"/>
        <w:autoSpaceDN w:val="0"/>
        <w:adjustRightInd w:val="0"/>
        <w:ind w:left="142"/>
        <w:rPr>
          <w:rFonts w:ascii="Times New Roman" w:eastAsia="Calibri" w:hAnsi="Times New Roman" w:cs="Times New Roman"/>
          <w:b/>
          <w:sz w:val="22"/>
          <w:szCs w:val="22"/>
        </w:rPr>
      </w:pPr>
    </w:p>
    <w:p w:rsidR="00ED1737" w:rsidRPr="00153388" w:rsidRDefault="00ED1737" w:rsidP="00A62422">
      <w:pPr>
        <w:autoSpaceDE w:val="0"/>
        <w:autoSpaceDN w:val="0"/>
        <w:adjustRightInd w:val="0"/>
        <w:ind w:left="142"/>
        <w:rPr>
          <w:rFonts w:ascii="Times New Roman" w:eastAsia="Calibri" w:hAnsi="Times New Roman" w:cs="Times New Roman"/>
        </w:rPr>
      </w:pPr>
      <w:r w:rsidRPr="00153388">
        <w:rPr>
          <w:rFonts w:ascii="Times New Roman" w:eastAsia="Calibri" w:hAnsi="Times New Roman" w:cs="Times New Roman"/>
          <w:b/>
        </w:rPr>
        <w:t>[</w:t>
      </w:r>
      <w:r w:rsidRPr="00153388">
        <w:rPr>
          <w:rFonts w:ascii="Times New Roman" w:eastAsia="Calibri" w:hAnsi="Times New Roman" w:cs="Times New Roman"/>
        </w:rPr>
        <w:t xml:space="preserve">Az utolsó két ciklus alatt összesen </w:t>
      </w:r>
      <w:r w:rsidRPr="00153388">
        <w:rPr>
          <w:rFonts w:ascii="Times New Roman" w:eastAsia="Calibri" w:hAnsi="Times New Roman" w:cs="Times New Roman"/>
          <w:i/>
        </w:rPr>
        <w:t>1 821 ügyet fejeztek be</w:t>
      </w:r>
      <w:r w:rsidRPr="00153388">
        <w:rPr>
          <w:rFonts w:ascii="Times New Roman" w:eastAsia="Calibri" w:hAnsi="Times New Roman" w:cs="Times New Roman"/>
        </w:rPr>
        <w:t xml:space="preserve"> az eljáró tanácsok. Jól megfigyelhető az évenkénti emelkedő trend:</w:t>
      </w:r>
    </w:p>
    <w:p w:rsidR="00ED1737" w:rsidRPr="00153388" w:rsidRDefault="00ED1737" w:rsidP="00ED1737">
      <w:pPr>
        <w:autoSpaceDE w:val="0"/>
        <w:autoSpaceDN w:val="0"/>
        <w:adjustRightInd w:val="0"/>
        <w:ind w:left="1558" w:firstLine="566"/>
        <w:rPr>
          <w:rFonts w:ascii="Times New Roman" w:eastAsia="Calibri" w:hAnsi="Times New Roman" w:cs="Times New Roman"/>
          <w:b/>
        </w:rPr>
      </w:pPr>
      <w:r w:rsidRPr="00153388">
        <w:rPr>
          <w:rFonts w:ascii="Times New Roman" w:eastAsia="Calibri" w:hAnsi="Times New Roman" w:cs="Times New Roman"/>
          <w:i/>
        </w:rPr>
        <w:t>2008</w:t>
      </w:r>
      <w:r w:rsidRPr="00153388">
        <w:rPr>
          <w:rFonts w:ascii="Times New Roman" w:eastAsia="Calibri" w:hAnsi="Times New Roman" w:cs="Times New Roman"/>
          <w:b/>
        </w:rPr>
        <w:t xml:space="preserve"> – 124; </w:t>
      </w:r>
      <w:r w:rsidRPr="00153388">
        <w:rPr>
          <w:rFonts w:ascii="Times New Roman" w:eastAsia="Calibri" w:hAnsi="Times New Roman" w:cs="Times New Roman"/>
          <w:i/>
        </w:rPr>
        <w:t>2009</w:t>
      </w:r>
      <w:r w:rsidRPr="00153388">
        <w:rPr>
          <w:rFonts w:ascii="Times New Roman" w:eastAsia="Calibri" w:hAnsi="Times New Roman" w:cs="Times New Roman"/>
          <w:b/>
        </w:rPr>
        <w:t xml:space="preserve"> – 145; </w:t>
      </w:r>
      <w:r w:rsidRPr="00153388">
        <w:rPr>
          <w:rFonts w:ascii="Times New Roman" w:eastAsia="Calibri" w:hAnsi="Times New Roman" w:cs="Times New Roman"/>
          <w:i/>
        </w:rPr>
        <w:t>2010</w:t>
      </w:r>
      <w:r w:rsidRPr="00153388">
        <w:rPr>
          <w:rFonts w:ascii="Times New Roman" w:eastAsia="Calibri" w:hAnsi="Times New Roman" w:cs="Times New Roman"/>
          <w:b/>
        </w:rPr>
        <w:t xml:space="preserve"> – 227; </w:t>
      </w:r>
      <w:r w:rsidRPr="00153388">
        <w:rPr>
          <w:rFonts w:ascii="Times New Roman" w:eastAsia="Calibri" w:hAnsi="Times New Roman" w:cs="Times New Roman"/>
          <w:i/>
        </w:rPr>
        <w:t>2011</w:t>
      </w:r>
      <w:r w:rsidRPr="00153388">
        <w:rPr>
          <w:rFonts w:ascii="Times New Roman" w:eastAsia="Calibri" w:hAnsi="Times New Roman" w:cs="Times New Roman"/>
          <w:b/>
        </w:rPr>
        <w:t xml:space="preserve"> – 204;    (700)</w:t>
      </w:r>
    </w:p>
    <w:p w:rsidR="00ED1737" w:rsidRPr="00153388" w:rsidRDefault="00ED1737" w:rsidP="00ED1737">
      <w:pPr>
        <w:autoSpaceDE w:val="0"/>
        <w:autoSpaceDN w:val="0"/>
        <w:adjustRightInd w:val="0"/>
        <w:ind w:left="2124"/>
        <w:rPr>
          <w:rFonts w:ascii="Times New Roman" w:eastAsia="Calibri" w:hAnsi="Times New Roman" w:cs="Times New Roman"/>
          <w:b/>
        </w:rPr>
      </w:pPr>
      <w:r w:rsidRPr="00153388">
        <w:rPr>
          <w:rFonts w:ascii="Times New Roman" w:eastAsia="Calibri" w:hAnsi="Times New Roman" w:cs="Times New Roman"/>
          <w:i/>
        </w:rPr>
        <w:t>2012</w:t>
      </w:r>
      <w:r w:rsidRPr="00153388">
        <w:rPr>
          <w:rFonts w:ascii="Times New Roman" w:eastAsia="Calibri" w:hAnsi="Times New Roman" w:cs="Times New Roman"/>
          <w:b/>
        </w:rPr>
        <w:t xml:space="preserve"> – 239; </w:t>
      </w:r>
      <w:r w:rsidRPr="00153388">
        <w:rPr>
          <w:rFonts w:ascii="Times New Roman" w:eastAsia="Calibri" w:hAnsi="Times New Roman" w:cs="Times New Roman"/>
          <w:i/>
        </w:rPr>
        <w:t>2013</w:t>
      </w:r>
      <w:r w:rsidRPr="00153388">
        <w:rPr>
          <w:rFonts w:ascii="Times New Roman" w:eastAsia="Calibri" w:hAnsi="Times New Roman" w:cs="Times New Roman"/>
          <w:b/>
        </w:rPr>
        <w:t xml:space="preserve"> – 312; </w:t>
      </w:r>
      <w:r w:rsidRPr="00153388">
        <w:rPr>
          <w:rFonts w:ascii="Times New Roman" w:eastAsia="Calibri" w:hAnsi="Times New Roman" w:cs="Times New Roman"/>
          <w:i/>
        </w:rPr>
        <w:t>2014</w:t>
      </w:r>
      <w:r w:rsidRPr="00153388">
        <w:rPr>
          <w:rFonts w:ascii="Times New Roman" w:eastAsia="Calibri" w:hAnsi="Times New Roman" w:cs="Times New Roman"/>
          <w:b/>
        </w:rPr>
        <w:t xml:space="preserve"> – 253; </w:t>
      </w:r>
      <w:r w:rsidRPr="00153388">
        <w:rPr>
          <w:rFonts w:ascii="Times New Roman" w:eastAsia="Calibri" w:hAnsi="Times New Roman" w:cs="Times New Roman"/>
          <w:i/>
        </w:rPr>
        <w:t>2015</w:t>
      </w:r>
      <w:r w:rsidRPr="00153388">
        <w:rPr>
          <w:rFonts w:ascii="Times New Roman" w:eastAsia="Calibri" w:hAnsi="Times New Roman" w:cs="Times New Roman"/>
          <w:b/>
        </w:rPr>
        <w:t xml:space="preserve"> – 317; (1 121)]</w:t>
      </w:r>
    </w:p>
    <w:p w:rsidR="00A62422" w:rsidRPr="00153388" w:rsidRDefault="00A62422" w:rsidP="00A62422">
      <w:pPr>
        <w:autoSpaceDE w:val="0"/>
        <w:autoSpaceDN w:val="0"/>
        <w:adjustRightInd w:val="0"/>
        <w:ind w:left="142"/>
        <w:rPr>
          <w:rFonts w:ascii="Times New Roman" w:eastAsia="Calibri" w:hAnsi="Times New Roman" w:cs="Times New Roman"/>
          <w:b/>
        </w:rPr>
      </w:pPr>
    </w:p>
    <w:p w:rsidR="00A62422" w:rsidRPr="00153388" w:rsidRDefault="00A62422" w:rsidP="00A62422">
      <w:pPr>
        <w:autoSpaceDE w:val="0"/>
        <w:autoSpaceDN w:val="0"/>
        <w:adjustRightInd w:val="0"/>
        <w:ind w:left="142"/>
        <w:rPr>
          <w:rFonts w:ascii="Times New Roman" w:eastAsia="Calibri" w:hAnsi="Times New Roman" w:cs="Times New Roman"/>
          <w:b/>
        </w:rPr>
      </w:pPr>
      <w:r w:rsidRPr="00153388">
        <w:rPr>
          <w:rFonts w:ascii="Times New Roman" w:eastAsia="Calibri" w:hAnsi="Times New Roman" w:cs="Times New Roman"/>
          <w:b/>
          <w:u w:val="single"/>
        </w:rPr>
        <w:t xml:space="preserve">Termékkel </w:t>
      </w:r>
      <w:r w:rsidRPr="00153388">
        <w:rPr>
          <w:rFonts w:ascii="Times New Roman" w:eastAsia="Calibri" w:hAnsi="Times New Roman" w:cs="Times New Roman"/>
        </w:rPr>
        <w:t xml:space="preserve">kapcsolatos ügy </w:t>
      </w:r>
      <w:r w:rsidR="00ED1737" w:rsidRPr="00153388">
        <w:rPr>
          <w:rFonts w:ascii="Times New Roman" w:eastAsia="Calibri" w:hAnsi="Times New Roman" w:cs="Times New Roman"/>
        </w:rPr>
        <w:t xml:space="preserve">2015-ben </w:t>
      </w:r>
      <w:r w:rsidRPr="00153388">
        <w:rPr>
          <w:rFonts w:ascii="Times New Roman" w:eastAsia="Calibri" w:hAnsi="Times New Roman" w:cs="Times New Roman"/>
        </w:rPr>
        <w:t>213 db</w:t>
      </w:r>
      <w:r w:rsidR="00ED1737" w:rsidRPr="00153388">
        <w:rPr>
          <w:rFonts w:ascii="Times New Roman" w:eastAsia="Calibri" w:hAnsi="Times New Roman" w:cs="Times New Roman"/>
        </w:rPr>
        <w:t xml:space="preserve"> érkezett</w:t>
      </w:r>
      <w:r w:rsidRPr="00153388">
        <w:rPr>
          <w:rFonts w:ascii="Times New Roman" w:eastAsia="Calibri" w:hAnsi="Times New Roman" w:cs="Times New Roman"/>
        </w:rPr>
        <w:t xml:space="preserve">, ebből </w:t>
      </w:r>
      <w:r w:rsidRPr="00153388">
        <w:rPr>
          <w:rFonts w:ascii="Times New Roman" w:eastAsia="Calibri" w:hAnsi="Times New Roman" w:cs="Times New Roman"/>
          <w:i/>
        </w:rPr>
        <w:t>befejezést nyert 205 ügy</w:t>
      </w:r>
      <w:r w:rsidRPr="00153388">
        <w:rPr>
          <w:rFonts w:ascii="Times New Roman" w:eastAsia="Calibri" w:hAnsi="Times New Roman" w:cs="Times New Roman"/>
        </w:rPr>
        <w:t xml:space="preserve"> (203 helyi döntéssel + 2 ügy áttétellel).</w:t>
      </w:r>
      <w:r w:rsidR="00337A85" w:rsidRPr="00153388">
        <w:rPr>
          <w:rFonts w:ascii="Times New Roman" w:eastAsia="Calibri" w:hAnsi="Times New Roman" w:cs="Times New Roman"/>
        </w:rPr>
        <w:t xml:space="preserve"> A termékekkel kapcsolatos jogvita adta ki az összes befejezett ügy 64,67 %-át.</w:t>
      </w:r>
    </w:p>
    <w:p w:rsidR="00A62422" w:rsidRPr="00153388" w:rsidRDefault="00A62422" w:rsidP="00A62422">
      <w:pPr>
        <w:autoSpaceDE w:val="0"/>
        <w:autoSpaceDN w:val="0"/>
        <w:adjustRightInd w:val="0"/>
        <w:ind w:left="142"/>
        <w:rPr>
          <w:rFonts w:ascii="Times New Roman" w:eastAsia="Calibri" w:hAnsi="Times New Roman" w:cs="Times New Roman"/>
        </w:rPr>
      </w:pPr>
      <w:r w:rsidRPr="00153388">
        <w:rPr>
          <w:rFonts w:ascii="Times New Roman" w:eastAsia="Calibri" w:hAnsi="Times New Roman" w:cs="Times New Roman"/>
          <w:b/>
          <w:u w:val="single"/>
        </w:rPr>
        <w:t>Szolgáltatás</w:t>
      </w:r>
      <w:r w:rsidRPr="00153388">
        <w:rPr>
          <w:rFonts w:ascii="Times New Roman" w:eastAsia="Calibri" w:hAnsi="Times New Roman" w:cs="Times New Roman"/>
          <w:b/>
        </w:rPr>
        <w:t xml:space="preserve"> </w:t>
      </w:r>
      <w:r w:rsidRPr="00153388">
        <w:rPr>
          <w:rFonts w:ascii="Times New Roman" w:eastAsia="Calibri" w:hAnsi="Times New Roman" w:cs="Times New Roman"/>
        </w:rPr>
        <w:t xml:space="preserve">kategóriába tartozott 130 ügy, ebből </w:t>
      </w:r>
      <w:r w:rsidRPr="00153388">
        <w:rPr>
          <w:rFonts w:ascii="Times New Roman" w:eastAsia="Calibri" w:hAnsi="Times New Roman" w:cs="Times New Roman"/>
          <w:i/>
        </w:rPr>
        <w:t>befejeződött 112 ügy</w:t>
      </w:r>
      <w:r w:rsidRPr="00153388">
        <w:rPr>
          <w:rFonts w:ascii="Times New Roman" w:eastAsia="Calibri" w:hAnsi="Times New Roman" w:cs="Times New Roman"/>
        </w:rPr>
        <w:t xml:space="preserve"> (8 került áttételre, 104 helyi döntéssel).</w:t>
      </w:r>
      <w:r w:rsidR="00337A85" w:rsidRPr="00153388">
        <w:rPr>
          <w:rFonts w:ascii="Times New Roman" w:eastAsia="Calibri" w:hAnsi="Times New Roman" w:cs="Times New Roman"/>
        </w:rPr>
        <w:t xml:space="preserve"> Az ebbe a kategóriába tartozó ügyek aránya 35,33 %-ot tett ki.</w:t>
      </w:r>
    </w:p>
    <w:p w:rsidR="00337A85" w:rsidRPr="00153388" w:rsidRDefault="00337A85" w:rsidP="00A62422">
      <w:pPr>
        <w:autoSpaceDE w:val="0"/>
        <w:autoSpaceDN w:val="0"/>
        <w:adjustRightInd w:val="0"/>
        <w:ind w:left="142"/>
        <w:rPr>
          <w:rFonts w:ascii="Times New Roman" w:eastAsia="Calibri" w:hAnsi="Times New Roman" w:cs="Times New Roman"/>
        </w:rPr>
      </w:pPr>
    </w:p>
    <w:p w:rsidR="00F10829" w:rsidRPr="00153388" w:rsidRDefault="00F10829" w:rsidP="00A62422">
      <w:pPr>
        <w:autoSpaceDE w:val="0"/>
        <w:autoSpaceDN w:val="0"/>
        <w:adjustRightInd w:val="0"/>
        <w:ind w:left="142"/>
        <w:rPr>
          <w:rFonts w:ascii="Times New Roman" w:eastAsia="Calibri" w:hAnsi="Times New Roman" w:cs="Times New Roman"/>
        </w:rPr>
      </w:pPr>
      <w:r w:rsidRPr="00153388">
        <w:rPr>
          <w:rFonts w:ascii="Times New Roman" w:eastAsia="Calibri" w:hAnsi="Times New Roman" w:cs="Times New Roman"/>
          <w:b/>
          <w:u w:val="single"/>
        </w:rPr>
        <w:t xml:space="preserve">Az első félévben befejeztünk összesen 159 ügyet </w:t>
      </w:r>
      <w:r w:rsidRPr="00153388">
        <w:rPr>
          <w:rFonts w:ascii="Times New Roman" w:eastAsia="Calibri" w:hAnsi="Times New Roman" w:cs="Times New Roman"/>
        </w:rPr>
        <w:t>(termék 110, szolgáltatás 49</w:t>
      </w:r>
      <w:r w:rsidR="00275254" w:rsidRPr="00153388">
        <w:rPr>
          <w:rFonts w:ascii="Times New Roman" w:eastAsia="Calibri" w:hAnsi="Times New Roman" w:cs="Times New Roman"/>
        </w:rPr>
        <w:t>; 69,18 % termék, 30, 82 %)</w:t>
      </w:r>
      <w:r w:rsidRPr="00153388">
        <w:rPr>
          <w:rFonts w:ascii="Times New Roman" w:eastAsia="Calibri" w:hAnsi="Times New Roman" w:cs="Times New Roman"/>
        </w:rPr>
        <w:t xml:space="preserve">), </w:t>
      </w:r>
      <w:r w:rsidR="00275254" w:rsidRPr="00153388">
        <w:rPr>
          <w:rFonts w:ascii="Times New Roman" w:eastAsia="Calibri" w:hAnsi="Times New Roman" w:cs="Times New Roman"/>
          <w:b/>
          <w:u w:val="single"/>
        </w:rPr>
        <w:t>a második félévben</w:t>
      </w:r>
      <w:r w:rsidR="00275254" w:rsidRPr="00153388">
        <w:rPr>
          <w:rFonts w:ascii="Times New Roman" w:eastAsia="Calibri" w:hAnsi="Times New Roman" w:cs="Times New Roman"/>
        </w:rPr>
        <w:t xml:space="preserve"> ezek a számok és arányok: </w:t>
      </w:r>
      <w:r w:rsidR="00247865" w:rsidRPr="00153388">
        <w:rPr>
          <w:rFonts w:ascii="Times New Roman" w:eastAsia="Calibri" w:hAnsi="Times New Roman" w:cs="Times New Roman"/>
          <w:b/>
        </w:rPr>
        <w:t xml:space="preserve">befejezés: 158; </w:t>
      </w:r>
      <w:r w:rsidR="00275254" w:rsidRPr="00153388">
        <w:rPr>
          <w:rFonts w:ascii="Times New Roman" w:eastAsia="Calibri" w:hAnsi="Times New Roman" w:cs="Times New Roman"/>
        </w:rPr>
        <w:t>termék 95, szolgáltatás 63</w:t>
      </w:r>
      <w:r w:rsidR="00247865" w:rsidRPr="00153388">
        <w:rPr>
          <w:rFonts w:ascii="Times New Roman" w:eastAsia="Calibri" w:hAnsi="Times New Roman" w:cs="Times New Roman"/>
        </w:rPr>
        <w:t>; 60,12 % illetve 39,88 %.</w:t>
      </w:r>
    </w:p>
    <w:p w:rsidR="00F10829" w:rsidRPr="00153388" w:rsidRDefault="00247865" w:rsidP="00A62422">
      <w:pPr>
        <w:autoSpaceDE w:val="0"/>
        <w:autoSpaceDN w:val="0"/>
        <w:adjustRightInd w:val="0"/>
        <w:ind w:left="142"/>
        <w:rPr>
          <w:rFonts w:ascii="Times New Roman" w:eastAsia="Calibri" w:hAnsi="Times New Roman" w:cs="Times New Roman"/>
        </w:rPr>
      </w:pPr>
      <w:r w:rsidRPr="00153388">
        <w:rPr>
          <w:rFonts w:ascii="Times New Roman" w:eastAsia="Calibri" w:hAnsi="Times New Roman" w:cs="Times New Roman"/>
          <w:b/>
        </w:rPr>
        <w:t xml:space="preserve">Látható tehát, hogy a második félévben </w:t>
      </w:r>
      <w:r w:rsidRPr="00153388">
        <w:rPr>
          <w:rFonts w:ascii="Times New Roman" w:eastAsia="Calibri" w:hAnsi="Times New Roman" w:cs="Times New Roman"/>
        </w:rPr>
        <w:t xml:space="preserve">csökkent a különbség a termék-szolgáltatás között, így is </w:t>
      </w:r>
    </w:p>
    <w:p w:rsidR="00A62422" w:rsidRPr="00153388" w:rsidRDefault="00A62422" w:rsidP="00A62422">
      <w:pPr>
        <w:autoSpaceDE w:val="0"/>
        <w:autoSpaceDN w:val="0"/>
        <w:adjustRightInd w:val="0"/>
        <w:ind w:left="142"/>
        <w:rPr>
          <w:rFonts w:ascii="Times New Roman" w:eastAsia="Calibri" w:hAnsi="Times New Roman" w:cs="Times New Roman"/>
        </w:rPr>
      </w:pPr>
      <w:r w:rsidRPr="00153388">
        <w:rPr>
          <w:rFonts w:ascii="Times New Roman" w:eastAsia="Calibri" w:hAnsi="Times New Roman" w:cs="Times New Roman"/>
          <w:b/>
        </w:rPr>
        <w:t xml:space="preserve">2016. évre átvitelre került </w:t>
      </w:r>
      <w:r w:rsidRPr="00153388">
        <w:rPr>
          <w:rFonts w:ascii="Times New Roman" w:eastAsia="Calibri" w:hAnsi="Times New Roman" w:cs="Times New Roman"/>
        </w:rPr>
        <w:t>(átiktatásuk megtörtént) 26 ügy, amelyből termék kategóriába 8, szolgáltatási szektorba pedig 18 ügy sorolható be.</w:t>
      </w:r>
    </w:p>
    <w:p w:rsidR="0065581B" w:rsidRPr="00153388" w:rsidRDefault="0065581B" w:rsidP="00A62422">
      <w:pPr>
        <w:autoSpaceDE w:val="0"/>
        <w:autoSpaceDN w:val="0"/>
        <w:adjustRightInd w:val="0"/>
        <w:ind w:left="142"/>
        <w:rPr>
          <w:rFonts w:ascii="Times New Roman" w:eastAsia="Calibri" w:hAnsi="Times New Roman" w:cs="Times New Roman"/>
          <w:b/>
        </w:rPr>
      </w:pPr>
    </w:p>
    <w:p w:rsidR="00A62422" w:rsidRPr="00153388" w:rsidRDefault="0065581B" w:rsidP="0065581B">
      <w:pPr>
        <w:autoSpaceDE w:val="0"/>
        <w:autoSpaceDN w:val="0"/>
        <w:adjustRightInd w:val="0"/>
        <w:ind w:left="142" w:hanging="142"/>
        <w:rPr>
          <w:rFonts w:ascii="Times New Roman" w:eastAsia="Calibri" w:hAnsi="Times New Roman" w:cs="Times New Roman"/>
          <w:b/>
        </w:rPr>
      </w:pPr>
      <w:r w:rsidRPr="00153388">
        <w:rPr>
          <w:rFonts w:ascii="Times New Roman" w:eastAsia="Calibri" w:hAnsi="Times New Roman" w:cs="Times New Roman"/>
          <w:b/>
        </w:rPr>
        <w:t xml:space="preserve">  [A 2014-es adatok: első félévben befejezett ügyek száma 111 (</w:t>
      </w:r>
      <w:r w:rsidRPr="00153388">
        <w:rPr>
          <w:rFonts w:ascii="Times New Roman" w:eastAsia="Calibri" w:hAnsi="Times New Roman" w:cs="Times New Roman"/>
        </w:rPr>
        <w:t>aránya: 43,8</w:t>
      </w:r>
      <w:r w:rsidR="00337A85" w:rsidRPr="00153388">
        <w:rPr>
          <w:rFonts w:ascii="Times New Roman" w:eastAsia="Calibri" w:hAnsi="Times New Roman" w:cs="Times New Roman"/>
        </w:rPr>
        <w:t>7 %</w:t>
      </w:r>
      <w:r w:rsidRPr="00153388">
        <w:rPr>
          <w:rFonts w:ascii="Times New Roman" w:eastAsia="Calibri" w:hAnsi="Times New Roman" w:cs="Times New Roman"/>
        </w:rPr>
        <w:t xml:space="preserve">; </w:t>
      </w:r>
      <w:r w:rsidRPr="00153388">
        <w:rPr>
          <w:rFonts w:ascii="Times New Roman" w:eastAsia="Calibri" w:hAnsi="Times New Roman" w:cs="Times New Roman"/>
          <w:b/>
        </w:rPr>
        <w:t>termék</w:t>
      </w:r>
      <w:r w:rsidR="00337A85" w:rsidRPr="00153388">
        <w:rPr>
          <w:rFonts w:ascii="Times New Roman" w:eastAsia="Calibri" w:hAnsi="Times New Roman" w:cs="Times New Roman"/>
        </w:rPr>
        <w:t xml:space="preserve">: 63, </w:t>
      </w:r>
      <w:r w:rsidRPr="00153388">
        <w:rPr>
          <w:rFonts w:ascii="Times New Roman" w:eastAsia="Calibri" w:hAnsi="Times New Roman" w:cs="Times New Roman"/>
        </w:rPr>
        <w:t>56,75 %</w:t>
      </w:r>
      <w:r w:rsidR="00337A85" w:rsidRPr="00153388">
        <w:rPr>
          <w:rFonts w:ascii="Times New Roman" w:eastAsia="Calibri" w:hAnsi="Times New Roman" w:cs="Times New Roman"/>
        </w:rPr>
        <w:t xml:space="preserve">; </w:t>
      </w:r>
      <w:r w:rsidR="00337A85" w:rsidRPr="00153388">
        <w:rPr>
          <w:rFonts w:ascii="Times New Roman" w:eastAsia="Calibri" w:hAnsi="Times New Roman" w:cs="Times New Roman"/>
          <w:b/>
        </w:rPr>
        <w:t xml:space="preserve">szolgáltatás: </w:t>
      </w:r>
      <w:r w:rsidR="00337A85" w:rsidRPr="00153388">
        <w:rPr>
          <w:rFonts w:ascii="Times New Roman" w:eastAsia="Calibri" w:hAnsi="Times New Roman" w:cs="Times New Roman"/>
        </w:rPr>
        <w:t>48</w:t>
      </w:r>
      <w:r w:rsidR="00337A85" w:rsidRPr="00153388">
        <w:rPr>
          <w:rFonts w:ascii="Times New Roman" w:eastAsia="Calibri" w:hAnsi="Times New Roman" w:cs="Times New Roman"/>
          <w:b/>
        </w:rPr>
        <w:t xml:space="preserve">, </w:t>
      </w:r>
      <w:r w:rsidR="00337A85" w:rsidRPr="00153388">
        <w:rPr>
          <w:rFonts w:ascii="Times New Roman" w:eastAsia="Calibri" w:hAnsi="Times New Roman" w:cs="Times New Roman"/>
        </w:rPr>
        <w:t>43,25 %</w:t>
      </w:r>
      <w:r w:rsidRPr="00153388">
        <w:rPr>
          <w:rFonts w:ascii="Times New Roman" w:eastAsia="Calibri" w:hAnsi="Times New Roman" w:cs="Times New Roman"/>
        </w:rPr>
        <w:t>) második félévben</w:t>
      </w:r>
      <w:r w:rsidRPr="00153388">
        <w:rPr>
          <w:rFonts w:ascii="Times New Roman" w:eastAsia="Calibri" w:hAnsi="Times New Roman" w:cs="Times New Roman"/>
          <w:b/>
        </w:rPr>
        <w:t xml:space="preserve"> befejezett ügy 142 </w:t>
      </w:r>
      <w:r w:rsidR="00337A85" w:rsidRPr="00153388">
        <w:rPr>
          <w:rFonts w:ascii="Times New Roman" w:eastAsia="Calibri" w:hAnsi="Times New Roman" w:cs="Times New Roman"/>
        </w:rPr>
        <w:t>(aránya: 56,13 %</w:t>
      </w:r>
      <w:r w:rsidRPr="00153388">
        <w:rPr>
          <w:rFonts w:ascii="Times New Roman" w:eastAsia="Calibri" w:hAnsi="Times New Roman" w:cs="Times New Roman"/>
        </w:rPr>
        <w:t>;</w:t>
      </w:r>
      <w:r w:rsidR="00337A85" w:rsidRPr="00153388">
        <w:rPr>
          <w:rFonts w:ascii="Times New Roman" w:eastAsia="Calibri" w:hAnsi="Times New Roman" w:cs="Times New Roman"/>
        </w:rPr>
        <w:t xml:space="preserve"> </w:t>
      </w:r>
      <w:r w:rsidR="00337A85" w:rsidRPr="00153388">
        <w:rPr>
          <w:rFonts w:ascii="Times New Roman" w:eastAsia="Calibri" w:hAnsi="Times New Roman" w:cs="Times New Roman"/>
          <w:b/>
        </w:rPr>
        <w:t xml:space="preserve">termék: </w:t>
      </w:r>
      <w:r w:rsidR="00337A85" w:rsidRPr="00153388">
        <w:rPr>
          <w:rFonts w:ascii="Times New Roman" w:eastAsia="Calibri" w:hAnsi="Times New Roman" w:cs="Times New Roman"/>
        </w:rPr>
        <w:t>79</w:t>
      </w:r>
      <w:r w:rsidR="00337A85" w:rsidRPr="00153388">
        <w:rPr>
          <w:rFonts w:ascii="Times New Roman" w:eastAsia="Calibri" w:hAnsi="Times New Roman" w:cs="Times New Roman"/>
          <w:b/>
        </w:rPr>
        <w:t xml:space="preserve">, </w:t>
      </w:r>
      <w:r w:rsidR="00337A85" w:rsidRPr="00153388">
        <w:rPr>
          <w:rFonts w:ascii="Times New Roman" w:eastAsia="Calibri" w:hAnsi="Times New Roman" w:cs="Times New Roman"/>
        </w:rPr>
        <w:t>55,63%; szolgáltatás: 63, 44,37 %).</w:t>
      </w:r>
      <w:r w:rsidRPr="00153388">
        <w:rPr>
          <w:rFonts w:ascii="Times New Roman" w:eastAsia="Calibri" w:hAnsi="Times New Roman" w:cs="Times New Roman"/>
          <w:b/>
        </w:rPr>
        <w:t>]</w:t>
      </w:r>
    </w:p>
    <w:p w:rsidR="00337A85" w:rsidRPr="000A1E77" w:rsidRDefault="00337A85" w:rsidP="0065581B">
      <w:pPr>
        <w:autoSpaceDE w:val="0"/>
        <w:autoSpaceDN w:val="0"/>
        <w:adjustRightInd w:val="0"/>
        <w:ind w:left="142" w:hanging="142"/>
        <w:rPr>
          <w:rFonts w:ascii="Times New Roman" w:eastAsia="Calibri" w:hAnsi="Times New Roman" w:cs="Times New Roman"/>
          <w:b/>
          <w:sz w:val="22"/>
          <w:szCs w:val="22"/>
        </w:rPr>
      </w:pPr>
    </w:p>
    <w:p w:rsidR="009072E4" w:rsidRPr="00153388" w:rsidRDefault="00A62422"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
          <w:bCs/>
          <w:iCs/>
          <w:lang w:eastAsia="hu-HU"/>
        </w:rPr>
        <w:t xml:space="preserve">2.1.2.A </w:t>
      </w:r>
      <w:r w:rsidRPr="00153388">
        <w:rPr>
          <w:rFonts w:ascii="Times New Roman" w:eastAsia="Times New Roman" w:hAnsi="Times New Roman" w:cs="Times New Roman"/>
          <w:b/>
          <w:bCs/>
          <w:iCs/>
          <w:u w:val="single"/>
          <w:lang w:eastAsia="hu-HU"/>
        </w:rPr>
        <w:t>„termék” kategóriában</w:t>
      </w:r>
      <w:r w:rsidRPr="00153388">
        <w:rPr>
          <w:rFonts w:ascii="Times New Roman" w:eastAsia="Times New Roman" w:hAnsi="Times New Roman" w:cs="Times New Roman"/>
          <w:bCs/>
          <w:iCs/>
          <w:lang w:eastAsia="hu-HU"/>
        </w:rPr>
        <w:t xml:space="preserve"> változatlanul a </w:t>
      </w:r>
      <w:r w:rsidRPr="00153388">
        <w:rPr>
          <w:rFonts w:ascii="Times New Roman" w:eastAsia="Times New Roman" w:hAnsi="Times New Roman" w:cs="Times New Roman"/>
          <w:b/>
          <w:bCs/>
          <w:i/>
          <w:iCs/>
          <w:u w:val="single"/>
          <w:lang w:eastAsia="hu-HU"/>
        </w:rPr>
        <w:t>lábbelikkel</w:t>
      </w:r>
      <w:r w:rsidRPr="00153388">
        <w:rPr>
          <w:rFonts w:ascii="Times New Roman" w:eastAsia="Times New Roman" w:hAnsi="Times New Roman" w:cs="Times New Roman"/>
          <w:b/>
          <w:bCs/>
          <w:iCs/>
          <w:u w:val="single"/>
          <w:lang w:eastAsia="hu-HU"/>
        </w:rPr>
        <w:t xml:space="preserve"> </w:t>
      </w:r>
      <w:r w:rsidRPr="00153388">
        <w:rPr>
          <w:rFonts w:ascii="Times New Roman" w:eastAsia="Times New Roman" w:hAnsi="Times New Roman" w:cs="Times New Roman"/>
          <w:b/>
          <w:bCs/>
          <w:iCs/>
          <w:lang w:eastAsia="hu-HU"/>
        </w:rPr>
        <w:t>(</w:t>
      </w:r>
      <w:r w:rsidRPr="00153388">
        <w:rPr>
          <w:rFonts w:ascii="Times New Roman" w:eastAsia="Times New Roman" w:hAnsi="Times New Roman" w:cs="Times New Roman"/>
          <w:bCs/>
          <w:iCs/>
          <w:lang w:eastAsia="hu-HU"/>
        </w:rPr>
        <w:t xml:space="preserve">statisztika jelentés  H-I-J oszlopai) </w:t>
      </w:r>
      <w:r w:rsidRPr="00153388">
        <w:rPr>
          <w:rFonts w:ascii="Times New Roman" w:eastAsia="Times New Roman" w:hAnsi="Times New Roman" w:cs="Times New Roman"/>
          <w:b/>
          <w:bCs/>
          <w:iCs/>
          <w:lang w:eastAsia="hu-HU"/>
        </w:rPr>
        <w:t>kapcsolatos eljárások</w:t>
      </w:r>
      <w:r w:rsidRPr="00153388">
        <w:rPr>
          <w:rFonts w:ascii="Times New Roman" w:eastAsia="Times New Roman" w:hAnsi="Times New Roman" w:cs="Times New Roman"/>
          <w:bCs/>
          <w:iCs/>
          <w:lang w:eastAsia="hu-HU"/>
        </w:rPr>
        <w:t xml:space="preserve"> állnak az élen, számuk meghaladta a 70-et, arányuk megközelítette a 35 %-ot. </w:t>
      </w:r>
    </w:p>
    <w:p w:rsidR="009072E4" w:rsidRPr="00153388" w:rsidRDefault="009072E4"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 xml:space="preserve"> </w:t>
      </w:r>
    </w:p>
    <w:p w:rsidR="009072E4" w:rsidRPr="00153388" w:rsidRDefault="009072E4"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A második félévben „csak” 30 lábbelis ügyünk volt, szemben az első félévi 41-el.</w:t>
      </w:r>
    </w:p>
    <w:p w:rsidR="009072E4" w:rsidRDefault="009072E4" w:rsidP="00A62422">
      <w:pPr>
        <w:ind w:left="142"/>
        <w:rPr>
          <w:rFonts w:ascii="Times New Roman" w:eastAsia="Times New Roman" w:hAnsi="Times New Roman" w:cs="Times New Roman"/>
          <w:bCs/>
          <w:iCs/>
          <w:sz w:val="22"/>
          <w:szCs w:val="22"/>
          <w:lang w:eastAsia="hu-HU"/>
        </w:rPr>
      </w:pPr>
    </w:p>
    <w:p w:rsidR="00A62422" w:rsidRPr="00153388" w:rsidRDefault="00A62422"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lastRenderedPageBreak/>
        <w:t xml:space="preserve">Több, mint 30-30 utcai-, vagy sportcipőt, lábbelit vizsgáltak meg az eljáró tanácsok, és zömében a </w:t>
      </w:r>
      <w:r w:rsidR="00830E45" w:rsidRPr="00153388">
        <w:rPr>
          <w:rFonts w:ascii="Times New Roman" w:eastAsia="Times New Roman" w:hAnsi="Times New Roman" w:cs="Times New Roman"/>
          <w:bCs/>
          <w:iCs/>
          <w:lang w:eastAsia="hu-HU"/>
        </w:rPr>
        <w:t>Vállalkozás</w:t>
      </w:r>
      <w:r w:rsidRPr="00153388">
        <w:rPr>
          <w:rFonts w:ascii="Times New Roman" w:eastAsia="Times New Roman" w:hAnsi="Times New Roman" w:cs="Times New Roman"/>
          <w:bCs/>
          <w:iCs/>
          <w:lang w:eastAsia="hu-HU"/>
        </w:rPr>
        <w:t xml:space="preserve">okat „marasztalták” el. Voltak persze olyan kérelmek is, amelyeket nem igazán lehetett „komolyan” venni, mert a lábbeliken a kíméletlen használatot nem volt nehéz észrevenni. </w:t>
      </w:r>
    </w:p>
    <w:p w:rsidR="00A62422" w:rsidRPr="00153388" w:rsidRDefault="00A62422" w:rsidP="00A62422">
      <w:pPr>
        <w:ind w:left="142"/>
        <w:rPr>
          <w:rFonts w:ascii="Times New Roman" w:eastAsia="Times New Roman" w:hAnsi="Times New Roman" w:cs="Times New Roman"/>
          <w:bCs/>
          <w:iCs/>
          <w:lang w:eastAsia="hu-HU"/>
        </w:rPr>
      </w:pPr>
    </w:p>
    <w:p w:rsidR="00A62422" w:rsidRPr="00153388" w:rsidRDefault="00A62422"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 xml:space="preserve">A panaszok zöme azért került a testület elé, mert alig pár hetes, vagy hónapos viselés után a ragasztások, varrások elengedtek, a szövetanyag kilyukadt, a talp/sarok jelentősen elvékonyodott, beázott. </w:t>
      </w:r>
    </w:p>
    <w:p w:rsidR="00A62422" w:rsidRPr="00153388" w:rsidRDefault="00A62422" w:rsidP="00A62422">
      <w:pPr>
        <w:ind w:left="142"/>
        <w:rPr>
          <w:rFonts w:ascii="Times New Roman" w:eastAsia="Times New Roman" w:hAnsi="Times New Roman" w:cs="Times New Roman"/>
          <w:bCs/>
          <w:iCs/>
          <w:lang w:eastAsia="hu-HU"/>
        </w:rPr>
      </w:pPr>
    </w:p>
    <w:p w:rsidR="00A62422" w:rsidRPr="00153388" w:rsidRDefault="00A62422"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 xml:space="preserve">Az üzletek vezetőinek kevés mozgásteret engednek a tulajdonosok, illetve a központi irányítók. A Fogyasztók úgy ítélik meg sok esetben, hogy az üzletben dolgozók (feltehetően) emiatt többször talán feleslegesen is küldik fel a lábbeliket vizsgálatra, illetve, hogy a „szakvéleményért” kifizetett díjból, akár a cserét, vagy a vételár visszafizetését is finanszírozni lehetne.  </w:t>
      </w:r>
    </w:p>
    <w:p w:rsidR="00A62422" w:rsidRPr="00153388" w:rsidRDefault="0038017A"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Változatlanul sokan</w:t>
      </w:r>
      <w:r w:rsidR="00A62422" w:rsidRPr="00153388">
        <w:rPr>
          <w:rFonts w:ascii="Times New Roman" w:eastAsia="Times New Roman" w:hAnsi="Times New Roman" w:cs="Times New Roman"/>
          <w:bCs/>
          <w:iCs/>
          <w:lang w:eastAsia="hu-HU"/>
        </w:rPr>
        <w:t xml:space="preserve"> kifogásolják a „szakvéleményeket”, mivel azok eléggé sablonosak, egyes esetekben semmitmondóak, </w:t>
      </w:r>
      <w:r w:rsidRPr="00153388">
        <w:rPr>
          <w:rFonts w:ascii="Times New Roman" w:eastAsia="Times New Roman" w:hAnsi="Times New Roman" w:cs="Times New Roman"/>
          <w:bCs/>
          <w:iCs/>
          <w:lang w:eastAsia="hu-HU"/>
        </w:rPr>
        <w:t xml:space="preserve">sok esetben csak </w:t>
      </w:r>
      <w:r w:rsidR="00A62422" w:rsidRPr="00153388">
        <w:rPr>
          <w:rFonts w:ascii="Times New Roman" w:eastAsia="Times New Roman" w:hAnsi="Times New Roman" w:cs="Times New Roman"/>
          <w:bCs/>
          <w:iCs/>
          <w:lang w:eastAsia="hu-HU"/>
        </w:rPr>
        <w:t>a „járás sajátossá</w:t>
      </w:r>
      <w:r w:rsidRPr="00153388">
        <w:rPr>
          <w:rFonts w:ascii="Times New Roman" w:eastAsia="Times New Roman" w:hAnsi="Times New Roman" w:cs="Times New Roman"/>
          <w:bCs/>
          <w:iCs/>
          <w:lang w:eastAsia="hu-HU"/>
        </w:rPr>
        <w:t>gokra” utalna</w:t>
      </w:r>
      <w:r w:rsidR="00A62422" w:rsidRPr="00153388">
        <w:rPr>
          <w:rFonts w:ascii="Times New Roman" w:eastAsia="Times New Roman" w:hAnsi="Times New Roman" w:cs="Times New Roman"/>
          <w:bCs/>
          <w:iCs/>
          <w:lang w:eastAsia="hu-HU"/>
        </w:rPr>
        <w:t>k, sőt néha azt is felvetik</w:t>
      </w:r>
      <w:r w:rsidRPr="00153388">
        <w:rPr>
          <w:rFonts w:ascii="Times New Roman" w:eastAsia="Times New Roman" w:hAnsi="Times New Roman" w:cs="Times New Roman"/>
          <w:bCs/>
          <w:iCs/>
          <w:lang w:eastAsia="hu-HU"/>
        </w:rPr>
        <w:t xml:space="preserve"> a Fogyasztók</w:t>
      </w:r>
      <w:r w:rsidR="00A62422" w:rsidRPr="00153388">
        <w:rPr>
          <w:rFonts w:ascii="Times New Roman" w:eastAsia="Times New Roman" w:hAnsi="Times New Roman" w:cs="Times New Roman"/>
          <w:bCs/>
          <w:iCs/>
          <w:lang w:eastAsia="hu-HU"/>
        </w:rPr>
        <w:t>, hogy olyan</w:t>
      </w:r>
      <w:r w:rsidRPr="00153388">
        <w:rPr>
          <w:rFonts w:ascii="Times New Roman" w:eastAsia="Times New Roman" w:hAnsi="Times New Roman" w:cs="Times New Roman"/>
          <w:bCs/>
          <w:iCs/>
          <w:lang w:eastAsia="hu-HU"/>
        </w:rPr>
        <w:t>ok, mint</w:t>
      </w:r>
      <w:r w:rsidR="00A62422" w:rsidRPr="00153388">
        <w:rPr>
          <w:rFonts w:ascii="Times New Roman" w:eastAsia="Times New Roman" w:hAnsi="Times New Roman" w:cs="Times New Roman"/>
          <w:bCs/>
          <w:iCs/>
          <w:lang w:eastAsia="hu-HU"/>
        </w:rPr>
        <w:t xml:space="preserve">ha </w:t>
      </w:r>
      <w:r w:rsidRPr="00153388">
        <w:rPr>
          <w:rFonts w:ascii="Times New Roman" w:eastAsia="Times New Roman" w:hAnsi="Times New Roman" w:cs="Times New Roman"/>
          <w:bCs/>
          <w:iCs/>
          <w:lang w:eastAsia="hu-HU"/>
        </w:rPr>
        <w:t xml:space="preserve">a véleményt közlők, </w:t>
      </w:r>
      <w:r w:rsidR="00A62422" w:rsidRPr="00153388">
        <w:rPr>
          <w:rFonts w:ascii="Times New Roman" w:eastAsia="Times New Roman" w:hAnsi="Times New Roman" w:cs="Times New Roman"/>
          <w:bCs/>
          <w:iCs/>
          <w:lang w:eastAsia="hu-HU"/>
        </w:rPr>
        <w:t>nem is látták volna a cipőket.</w:t>
      </w:r>
    </w:p>
    <w:p w:rsidR="00A62422" w:rsidRPr="00153388" w:rsidRDefault="00A62422" w:rsidP="00A62422">
      <w:pPr>
        <w:ind w:left="142"/>
        <w:rPr>
          <w:rFonts w:ascii="Times New Roman" w:eastAsia="Times New Roman" w:hAnsi="Times New Roman" w:cs="Times New Roman"/>
          <w:bCs/>
          <w:iCs/>
          <w:lang w:eastAsia="hu-HU"/>
        </w:rPr>
      </w:pPr>
    </w:p>
    <w:p w:rsidR="00A62422" w:rsidRPr="00153388" w:rsidRDefault="00A62422"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Érdekességként említhető meg, hogy 2014-hez viszonyítva 42 %-</w:t>
      </w:r>
      <w:r w:rsidR="0013508A">
        <w:rPr>
          <w:rFonts w:ascii="Times New Roman" w:eastAsia="Times New Roman" w:hAnsi="Times New Roman" w:cs="Times New Roman"/>
          <w:bCs/>
          <w:iCs/>
          <w:lang w:eastAsia="hu-HU"/>
        </w:rPr>
        <w:t>k</w:t>
      </w:r>
      <w:r w:rsidRPr="00153388">
        <w:rPr>
          <w:rFonts w:ascii="Times New Roman" w:eastAsia="Times New Roman" w:hAnsi="Times New Roman" w:cs="Times New Roman"/>
          <w:bCs/>
          <w:iCs/>
          <w:lang w:eastAsia="hu-HU"/>
        </w:rPr>
        <w:t>al több volt a lábbeli-panasz [különösen a sport-kategóriában nőtt meg a számuk 12-ről 31-re]. Akkor a második félévben jelentősen emelkedett a panaszok száma, és a tendencia megmaradt 2015 első félévében is, majd a második félévben csökkent az ügyek száma [2014 I. félév: 17. - II. félév: 33 – 2015. I. félév: 41 - II. félév 30 ügy].</w:t>
      </w:r>
    </w:p>
    <w:p w:rsidR="00A62422" w:rsidRPr="00153388" w:rsidRDefault="00A62422" w:rsidP="00A62422">
      <w:pPr>
        <w:ind w:left="142"/>
        <w:rPr>
          <w:rFonts w:ascii="Times New Roman" w:eastAsia="Times New Roman" w:hAnsi="Times New Roman" w:cs="Times New Roman"/>
          <w:bCs/>
          <w:iCs/>
          <w:lang w:eastAsia="hu-HU"/>
        </w:rPr>
      </w:pPr>
    </w:p>
    <w:p w:rsidR="00A62422" w:rsidRPr="00153388" w:rsidRDefault="00A62422"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 xml:space="preserve">A </w:t>
      </w:r>
      <w:r w:rsidRPr="00153388">
        <w:rPr>
          <w:rFonts w:ascii="Times New Roman" w:eastAsia="Times New Roman" w:hAnsi="Times New Roman" w:cs="Times New Roman"/>
          <w:b/>
          <w:bCs/>
          <w:i/>
          <w:iCs/>
          <w:u w:val="single"/>
          <w:lang w:eastAsia="hu-HU"/>
        </w:rPr>
        <w:t>híradástechnikai termékekkel</w:t>
      </w:r>
      <w:r w:rsidRPr="00153388">
        <w:rPr>
          <w:rFonts w:ascii="Times New Roman" w:eastAsia="Times New Roman" w:hAnsi="Times New Roman" w:cs="Times New Roman"/>
          <w:bCs/>
          <w:iCs/>
          <w:lang w:eastAsia="hu-HU"/>
        </w:rPr>
        <w:t xml:space="preserve"> (statisztika S-T-U oszlopai) kapcsolatos panaszok megközelítették a 40-et. </w:t>
      </w:r>
      <w:r w:rsidR="00A23BAA" w:rsidRPr="00153388">
        <w:rPr>
          <w:rFonts w:ascii="Times New Roman" w:eastAsia="Times New Roman" w:hAnsi="Times New Roman" w:cs="Times New Roman"/>
          <w:bCs/>
          <w:iCs/>
          <w:lang w:eastAsia="hu-HU"/>
        </w:rPr>
        <w:t>(Ebben a kate</w:t>
      </w:r>
      <w:r w:rsidR="009072E4" w:rsidRPr="00153388">
        <w:rPr>
          <w:rFonts w:ascii="Times New Roman" w:eastAsia="Times New Roman" w:hAnsi="Times New Roman" w:cs="Times New Roman"/>
          <w:bCs/>
          <w:iCs/>
          <w:lang w:eastAsia="hu-HU"/>
        </w:rPr>
        <w:t xml:space="preserve">góriában az első félévben 21 ügyben, míg a másodikban 18 ügyben jártak el a tanácsok.) </w:t>
      </w:r>
      <w:r w:rsidRPr="00153388">
        <w:rPr>
          <w:rFonts w:ascii="Times New Roman" w:eastAsia="Times New Roman" w:hAnsi="Times New Roman" w:cs="Times New Roman"/>
          <w:bCs/>
          <w:iCs/>
          <w:lang w:eastAsia="hu-HU"/>
        </w:rPr>
        <w:t>A besorolások miatt ide tartoznak pl. a mobil-, és okos</w:t>
      </w:r>
      <w:r w:rsidR="0013508A">
        <w:rPr>
          <w:rFonts w:ascii="Times New Roman" w:eastAsia="Times New Roman" w:hAnsi="Times New Roman" w:cs="Times New Roman"/>
          <w:bCs/>
          <w:iCs/>
          <w:lang w:eastAsia="hu-HU"/>
        </w:rPr>
        <w:t xml:space="preserve"> </w:t>
      </w:r>
      <w:r w:rsidRPr="00153388">
        <w:rPr>
          <w:rFonts w:ascii="Times New Roman" w:eastAsia="Times New Roman" w:hAnsi="Times New Roman" w:cs="Times New Roman"/>
          <w:bCs/>
          <w:iCs/>
          <w:lang w:eastAsia="hu-HU"/>
        </w:rPr>
        <w:t>telefonok (33 ügy</w:t>
      </w:r>
      <w:r w:rsidR="00A23BAA" w:rsidRPr="00153388">
        <w:rPr>
          <w:rFonts w:ascii="Times New Roman" w:eastAsia="Times New Roman" w:hAnsi="Times New Roman" w:cs="Times New Roman"/>
          <w:bCs/>
          <w:iCs/>
          <w:lang w:eastAsia="hu-HU"/>
        </w:rPr>
        <w:t>, első félév 17, második 16</w:t>
      </w:r>
      <w:r w:rsidRPr="00153388">
        <w:rPr>
          <w:rFonts w:ascii="Times New Roman" w:eastAsia="Times New Roman" w:hAnsi="Times New Roman" w:cs="Times New Roman"/>
          <w:bCs/>
          <w:iCs/>
          <w:lang w:eastAsia="hu-HU"/>
        </w:rPr>
        <w:t>), de a laptopok, tabletek már a számítástechnikai termékek között szerepelnek (10 ilyen üggyel találkoztunk</w:t>
      </w:r>
      <w:r w:rsidR="00A23BAA" w:rsidRPr="00153388">
        <w:rPr>
          <w:rFonts w:ascii="Times New Roman" w:eastAsia="Times New Roman" w:hAnsi="Times New Roman" w:cs="Times New Roman"/>
          <w:bCs/>
          <w:iCs/>
          <w:lang w:eastAsia="hu-HU"/>
        </w:rPr>
        <w:t>, első félévben 7 esetben, a másodikban 3-mal</w:t>
      </w:r>
      <w:r w:rsidRPr="00153388">
        <w:rPr>
          <w:rFonts w:ascii="Times New Roman" w:eastAsia="Times New Roman" w:hAnsi="Times New Roman" w:cs="Times New Roman"/>
          <w:bCs/>
          <w:iCs/>
          <w:lang w:eastAsia="hu-HU"/>
        </w:rPr>
        <w:t>).  Itt is jelentős emelkedést tapasztaltunk</w:t>
      </w:r>
      <w:r w:rsidR="00A23BAA" w:rsidRPr="00153388">
        <w:rPr>
          <w:rFonts w:ascii="Times New Roman" w:eastAsia="Times New Roman" w:hAnsi="Times New Roman" w:cs="Times New Roman"/>
          <w:bCs/>
          <w:iCs/>
          <w:lang w:eastAsia="hu-HU"/>
        </w:rPr>
        <w:t xml:space="preserve"> 2014-hez viszonyítva</w:t>
      </w:r>
      <w:r w:rsidRPr="00153388">
        <w:rPr>
          <w:rFonts w:ascii="Times New Roman" w:eastAsia="Times New Roman" w:hAnsi="Times New Roman" w:cs="Times New Roman"/>
          <w:bCs/>
          <w:iCs/>
          <w:lang w:eastAsia="hu-HU"/>
        </w:rPr>
        <w:t>: a mobiloknál 12-ről nőtt 33-ra.</w:t>
      </w:r>
    </w:p>
    <w:p w:rsidR="00A62422" w:rsidRPr="00153388" w:rsidRDefault="00A62422" w:rsidP="00A62422">
      <w:pPr>
        <w:ind w:left="142"/>
        <w:rPr>
          <w:rFonts w:ascii="Times New Roman" w:eastAsia="Times New Roman" w:hAnsi="Times New Roman" w:cs="Times New Roman"/>
          <w:bCs/>
          <w:iCs/>
          <w:lang w:eastAsia="hu-HU"/>
        </w:rPr>
      </w:pPr>
    </w:p>
    <w:p w:rsidR="00A62422" w:rsidRPr="00153388" w:rsidRDefault="00A62422"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Változatlanul problémát jelent, hogy az eladást végző kis- és nagyvállalkozásoknak – a válasziratok szerint – nincs lehetőségük a szervizek véleményét felülírni. A szervizek pedig „kötődnek” a gyártóhoz, emiatt a Fogyasztók nem tartják – általában – független szakvéleménynek az általuk leírtakat. Nem egy esetben itt is előfordul a teljesen sablonos vélemény nyilvánítás, nincs változás abban sem, hogy</w:t>
      </w:r>
      <w:r w:rsidR="0013508A">
        <w:rPr>
          <w:rFonts w:ascii="Times New Roman" w:eastAsia="Times New Roman" w:hAnsi="Times New Roman" w:cs="Times New Roman"/>
          <w:bCs/>
          <w:iCs/>
          <w:lang w:eastAsia="hu-HU"/>
        </w:rPr>
        <w:t xml:space="preserve"> a „külsérelem” miatt m</w:t>
      </w:r>
      <w:r w:rsidRPr="00153388">
        <w:rPr>
          <w:rFonts w:ascii="Times New Roman" w:eastAsia="Times New Roman" w:hAnsi="Times New Roman" w:cs="Times New Roman"/>
          <w:bCs/>
          <w:iCs/>
          <w:lang w:eastAsia="hu-HU"/>
        </w:rPr>
        <w:t>ár meg sem nézik, hogy mi a tényleges meghibásodás, hogy van-e ok-okozati összefüggés a képernyőn, a kijelzőn észlelt mikro</w:t>
      </w:r>
      <w:r w:rsidR="0013508A">
        <w:rPr>
          <w:rFonts w:ascii="Times New Roman" w:eastAsia="Times New Roman" w:hAnsi="Times New Roman" w:cs="Times New Roman"/>
          <w:bCs/>
          <w:iCs/>
          <w:lang w:eastAsia="hu-HU"/>
        </w:rPr>
        <w:t>-</w:t>
      </w:r>
      <w:r w:rsidRPr="00153388">
        <w:rPr>
          <w:rFonts w:ascii="Times New Roman" w:eastAsia="Times New Roman" w:hAnsi="Times New Roman" w:cs="Times New Roman"/>
          <w:bCs/>
          <w:iCs/>
          <w:lang w:eastAsia="hu-HU"/>
        </w:rPr>
        <w:t>repedés, és a készülék hibája között.</w:t>
      </w:r>
    </w:p>
    <w:p w:rsidR="00A62422" w:rsidRPr="00153388" w:rsidRDefault="00A62422"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A szervizek és a Vállalkozások hivatkoznak arra, hogy „gyártói utasításra” nem lehet garanciában javítani a terméket. Sorozatosan jelezzük, hogy ezt többek között azért sem tudjuk figyelembe venni, mert nem ismerjük ezeket a gyártói utasításokat. Sajnálatosan, ennek ellenére még egyetlen Vállalkozás, vagy szerviz nem csatolt be ilyen gyártói utasítást.</w:t>
      </w:r>
    </w:p>
    <w:p w:rsidR="00A62422" w:rsidRPr="00153388" w:rsidRDefault="00A62422" w:rsidP="00A62422">
      <w:pPr>
        <w:ind w:left="142"/>
        <w:rPr>
          <w:rFonts w:ascii="Times New Roman" w:eastAsia="Times New Roman" w:hAnsi="Times New Roman" w:cs="Times New Roman"/>
          <w:bCs/>
          <w:iCs/>
          <w:lang w:eastAsia="hu-HU"/>
        </w:rPr>
      </w:pPr>
    </w:p>
    <w:p w:rsidR="00A62422" w:rsidRPr="00153388" w:rsidRDefault="00A62422"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 xml:space="preserve">Kiemelhető még </w:t>
      </w:r>
      <w:r w:rsidRPr="00153388">
        <w:rPr>
          <w:rFonts w:ascii="Times New Roman" w:eastAsia="Times New Roman" w:hAnsi="Times New Roman" w:cs="Times New Roman"/>
          <w:b/>
          <w:bCs/>
          <w:i/>
          <w:iCs/>
          <w:u w:val="single"/>
          <w:lang w:eastAsia="hu-HU"/>
        </w:rPr>
        <w:t>a nem orvosi rendelvényre</w:t>
      </w:r>
      <w:r w:rsidRPr="00153388">
        <w:rPr>
          <w:rFonts w:ascii="Times New Roman" w:eastAsia="Times New Roman" w:hAnsi="Times New Roman" w:cs="Times New Roman"/>
          <w:bCs/>
          <w:iCs/>
          <w:lang w:eastAsia="hu-HU"/>
        </w:rPr>
        <w:t xml:space="preserve"> (statisztika AD oszlopa) kapható termékekkel kapcsolatos reklamáció (13</w:t>
      </w:r>
      <w:r w:rsidR="009072E4" w:rsidRPr="00153388">
        <w:rPr>
          <w:rFonts w:ascii="Times New Roman" w:eastAsia="Times New Roman" w:hAnsi="Times New Roman" w:cs="Times New Roman"/>
          <w:bCs/>
          <w:iCs/>
          <w:lang w:eastAsia="hu-HU"/>
        </w:rPr>
        <w:t xml:space="preserve"> – első félév 6, második 7)</w:t>
      </w:r>
      <w:r w:rsidRPr="00153388">
        <w:rPr>
          <w:rFonts w:ascii="Times New Roman" w:eastAsia="Times New Roman" w:hAnsi="Times New Roman" w:cs="Times New Roman"/>
          <w:bCs/>
          <w:iCs/>
          <w:lang w:eastAsia="hu-HU"/>
        </w:rPr>
        <w:t>) is, mint nagyobb számú panaszt jelentő termék kategória. Ugyanakkor meg kell jegyezni azt is, hogy 10-el csökkent az ilyen ügyek száma – feltehetően azért, mert az üzleten kívül történt (pl. árubemutatók) vásárlások is csökkentek.</w:t>
      </w:r>
    </w:p>
    <w:p w:rsidR="00A62422" w:rsidRPr="00153388" w:rsidRDefault="00A62422" w:rsidP="00A62422">
      <w:pPr>
        <w:ind w:left="142"/>
        <w:rPr>
          <w:rFonts w:ascii="Times New Roman" w:eastAsia="Times New Roman" w:hAnsi="Times New Roman" w:cs="Times New Roman"/>
          <w:bCs/>
          <w:iCs/>
          <w:lang w:eastAsia="hu-HU"/>
        </w:rPr>
      </w:pPr>
    </w:p>
    <w:p w:rsidR="00A62422" w:rsidRPr="00153388" w:rsidRDefault="001A43A1"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 xml:space="preserve">A </w:t>
      </w:r>
      <w:r w:rsidRPr="00153388">
        <w:rPr>
          <w:rFonts w:ascii="Times New Roman" w:eastAsia="Times New Roman" w:hAnsi="Times New Roman" w:cs="Times New Roman"/>
          <w:b/>
          <w:bCs/>
          <w:i/>
          <w:iCs/>
          <w:u w:val="single"/>
          <w:lang w:eastAsia="hu-HU"/>
        </w:rPr>
        <w:t xml:space="preserve">közúti járművek és alkatrészekkel </w:t>
      </w:r>
      <w:r w:rsidRPr="00153388">
        <w:rPr>
          <w:rFonts w:ascii="Times New Roman" w:eastAsia="Times New Roman" w:hAnsi="Times New Roman" w:cs="Times New Roman"/>
          <w:bCs/>
          <w:iCs/>
          <w:lang w:eastAsia="hu-HU"/>
        </w:rPr>
        <w:t>(statisztika AG-AH-AI oszlopok) kapcsolatos ügyek száma megnégyszereződött, va</w:t>
      </w:r>
      <w:r w:rsidR="00A23BAA" w:rsidRPr="00153388">
        <w:rPr>
          <w:rFonts w:ascii="Times New Roman" w:eastAsia="Times New Roman" w:hAnsi="Times New Roman" w:cs="Times New Roman"/>
          <w:bCs/>
          <w:iCs/>
          <w:lang w:eastAsia="hu-HU"/>
        </w:rPr>
        <w:t>gyis a 2014-es 3-ról 12-re nőtt (</w:t>
      </w:r>
      <w:r w:rsidR="009072E4" w:rsidRPr="00153388">
        <w:rPr>
          <w:rFonts w:ascii="Times New Roman" w:eastAsia="Times New Roman" w:hAnsi="Times New Roman" w:cs="Times New Roman"/>
          <w:bCs/>
          <w:iCs/>
          <w:lang w:eastAsia="hu-HU"/>
        </w:rPr>
        <w:t>az első féléves adatokhoz képest</w:t>
      </w:r>
      <w:r w:rsidR="00A23BAA" w:rsidRPr="00153388">
        <w:rPr>
          <w:rFonts w:ascii="Times New Roman" w:eastAsia="Times New Roman" w:hAnsi="Times New Roman" w:cs="Times New Roman"/>
          <w:bCs/>
          <w:iCs/>
          <w:lang w:eastAsia="hu-HU"/>
        </w:rPr>
        <w:t xml:space="preserve"> 9 a másodikban már csak 3 ügy volt).</w:t>
      </w:r>
      <w:r w:rsidRPr="00153388">
        <w:rPr>
          <w:rFonts w:ascii="Times New Roman" w:eastAsia="Times New Roman" w:hAnsi="Times New Roman" w:cs="Times New Roman"/>
          <w:bCs/>
          <w:iCs/>
          <w:lang w:eastAsia="hu-HU"/>
        </w:rPr>
        <w:t xml:space="preserve"> Különösen szembetűnő volt a használt autók vásárlásával kapcsolatos probléma. Sajnálatosan meg kellett azt is állapítanunk, hogy a vásárlók nem egy esetben nem jártak el körültekintően a vásárláskor, hiszen több milliós értékű kocsit is vásároltak úgy, hogy szakemberrel azt előzetesen nem vizsgáltatták át, nem kértek állapotfelmérő lapot sem, hanem a szokványos „megtekintett állapotban” írták alá a szerződést.</w:t>
      </w:r>
    </w:p>
    <w:p w:rsidR="001A43A1" w:rsidRPr="00153388" w:rsidRDefault="001A43A1" w:rsidP="00A62422">
      <w:pPr>
        <w:ind w:left="142"/>
        <w:rPr>
          <w:rFonts w:ascii="Times New Roman" w:eastAsia="Times New Roman" w:hAnsi="Times New Roman" w:cs="Times New Roman"/>
          <w:bCs/>
          <w:iCs/>
          <w:lang w:eastAsia="hu-HU"/>
        </w:rPr>
      </w:pPr>
    </w:p>
    <w:p w:rsidR="001A43A1" w:rsidRPr="00153388" w:rsidRDefault="001A43A1"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
          <w:bCs/>
          <w:i/>
          <w:iCs/>
          <w:u w:val="single"/>
          <w:lang w:eastAsia="hu-HU"/>
        </w:rPr>
        <w:t xml:space="preserve">Bútorok  </w:t>
      </w:r>
      <w:r w:rsidRPr="00153388">
        <w:rPr>
          <w:rFonts w:ascii="Times New Roman" w:eastAsia="Times New Roman" w:hAnsi="Times New Roman" w:cs="Times New Roman"/>
          <w:bCs/>
          <w:iCs/>
          <w:lang w:eastAsia="hu-HU"/>
        </w:rPr>
        <w:t xml:space="preserve">tekintetében (statisztika AJ oszlop) az eggyel kevesebb ügyszám – 2015-ben 8 – nem jelentős </w:t>
      </w:r>
      <w:r w:rsidR="00A23BAA" w:rsidRPr="00153388">
        <w:rPr>
          <w:rFonts w:ascii="Times New Roman" w:eastAsia="Times New Roman" w:hAnsi="Times New Roman" w:cs="Times New Roman"/>
          <w:bCs/>
          <w:iCs/>
          <w:lang w:eastAsia="hu-HU"/>
        </w:rPr>
        <w:t xml:space="preserve">a </w:t>
      </w:r>
      <w:r w:rsidRPr="00153388">
        <w:rPr>
          <w:rFonts w:ascii="Times New Roman" w:eastAsia="Times New Roman" w:hAnsi="Times New Roman" w:cs="Times New Roman"/>
          <w:bCs/>
          <w:iCs/>
          <w:lang w:eastAsia="hu-HU"/>
        </w:rPr>
        <w:t>változás</w:t>
      </w:r>
      <w:r w:rsidR="00A23BAA" w:rsidRPr="00153388">
        <w:rPr>
          <w:rFonts w:ascii="Times New Roman" w:eastAsia="Times New Roman" w:hAnsi="Times New Roman" w:cs="Times New Roman"/>
          <w:bCs/>
          <w:iCs/>
          <w:lang w:eastAsia="hu-HU"/>
        </w:rPr>
        <w:t xml:space="preserve"> (első félév 5, második 3 eset).</w:t>
      </w:r>
      <w:r w:rsidRPr="00153388">
        <w:rPr>
          <w:rFonts w:ascii="Times New Roman" w:eastAsia="Times New Roman" w:hAnsi="Times New Roman" w:cs="Times New Roman"/>
          <w:bCs/>
          <w:iCs/>
          <w:lang w:eastAsia="hu-HU"/>
        </w:rPr>
        <w:t>.</w:t>
      </w:r>
    </w:p>
    <w:p w:rsidR="004039D4" w:rsidRPr="00153388" w:rsidRDefault="004039D4" w:rsidP="00A62422">
      <w:pPr>
        <w:ind w:left="142"/>
        <w:rPr>
          <w:rFonts w:ascii="Times New Roman" w:eastAsia="Times New Roman" w:hAnsi="Times New Roman" w:cs="Times New Roman"/>
          <w:bCs/>
          <w:iCs/>
          <w:lang w:eastAsia="hu-HU"/>
        </w:rPr>
      </w:pPr>
    </w:p>
    <w:p w:rsidR="004039D4" w:rsidRPr="00153388" w:rsidRDefault="004039D4" w:rsidP="00A62422">
      <w:pPr>
        <w:ind w:left="142"/>
        <w:rPr>
          <w:rFonts w:ascii="Times New Roman" w:eastAsia="Times New Roman" w:hAnsi="Times New Roman" w:cs="Times New Roman"/>
          <w:bCs/>
          <w:iCs/>
          <w:lang w:eastAsia="hu-HU"/>
        </w:rPr>
      </w:pPr>
      <w:r w:rsidRPr="00153388">
        <w:rPr>
          <w:rFonts w:ascii="Times New Roman" w:eastAsia="Times New Roman" w:hAnsi="Times New Roman" w:cs="Times New Roman"/>
          <w:bCs/>
          <w:iCs/>
          <w:lang w:eastAsia="hu-HU"/>
        </w:rPr>
        <w:t xml:space="preserve">A </w:t>
      </w:r>
      <w:r w:rsidRPr="00153388">
        <w:rPr>
          <w:rFonts w:ascii="Times New Roman" w:eastAsia="Times New Roman" w:hAnsi="Times New Roman" w:cs="Times New Roman"/>
          <w:b/>
          <w:bCs/>
          <w:i/>
          <w:iCs/>
          <w:u w:val="single"/>
          <w:lang w:eastAsia="hu-HU"/>
        </w:rPr>
        <w:t>nem hagyományos módon történő vásárlásoknál</w:t>
      </w:r>
      <w:r w:rsidRPr="00153388">
        <w:rPr>
          <w:rFonts w:ascii="Times New Roman" w:eastAsia="Times New Roman" w:hAnsi="Times New Roman" w:cs="Times New Roman"/>
          <w:bCs/>
          <w:iCs/>
          <w:lang w:eastAsia="hu-HU"/>
        </w:rPr>
        <w:t xml:space="preserve"> interneten (statisztika AX oszlop) a 10 eset megnőtt 19-re</w:t>
      </w:r>
      <w:r w:rsidR="00A23BAA" w:rsidRPr="00153388">
        <w:rPr>
          <w:rFonts w:ascii="Times New Roman" w:eastAsia="Times New Roman" w:hAnsi="Times New Roman" w:cs="Times New Roman"/>
          <w:bCs/>
          <w:iCs/>
          <w:lang w:eastAsia="hu-HU"/>
        </w:rPr>
        <w:t xml:space="preserve"> (első félév 13, második 6)</w:t>
      </w:r>
      <w:r w:rsidRPr="00153388">
        <w:rPr>
          <w:rFonts w:ascii="Times New Roman" w:eastAsia="Times New Roman" w:hAnsi="Times New Roman" w:cs="Times New Roman"/>
          <w:bCs/>
          <w:iCs/>
          <w:lang w:eastAsia="hu-HU"/>
        </w:rPr>
        <w:t xml:space="preserve">, a termékbemutatón történő vásárlás (statisztika BB oszlop) viszont a 21-ről 3-ra </w:t>
      </w:r>
      <w:r w:rsidR="00A23BAA" w:rsidRPr="00153388">
        <w:rPr>
          <w:rFonts w:ascii="Times New Roman" w:eastAsia="Times New Roman" w:hAnsi="Times New Roman" w:cs="Times New Roman"/>
          <w:bCs/>
          <w:iCs/>
          <w:lang w:eastAsia="hu-HU"/>
        </w:rPr>
        <w:t xml:space="preserve">(első félév) </w:t>
      </w:r>
      <w:r w:rsidRPr="00153388">
        <w:rPr>
          <w:rFonts w:ascii="Times New Roman" w:eastAsia="Times New Roman" w:hAnsi="Times New Roman" w:cs="Times New Roman"/>
          <w:bCs/>
          <w:iCs/>
          <w:lang w:eastAsia="hu-HU"/>
        </w:rPr>
        <w:t>csökkent (annak megállapítása, hogy itt nincs-e esetleg adminisztrációs hiba is – későbbi feladatunk lesz).</w:t>
      </w:r>
    </w:p>
    <w:p w:rsidR="008016FB" w:rsidRPr="00153388" w:rsidRDefault="008016FB">
      <w:pPr>
        <w:rPr>
          <w:rFonts w:ascii="Times New Roman" w:hAnsi="Times New Roman" w:cs="Times New Roman"/>
        </w:rPr>
      </w:pPr>
    </w:p>
    <w:p w:rsidR="004039D4" w:rsidRPr="00153388" w:rsidRDefault="004039D4">
      <w:pPr>
        <w:rPr>
          <w:rFonts w:ascii="Times New Roman" w:hAnsi="Times New Roman" w:cs="Times New Roman"/>
        </w:rPr>
      </w:pPr>
      <w:r w:rsidRPr="00153388">
        <w:rPr>
          <w:rFonts w:ascii="Times New Roman" w:hAnsi="Times New Roman" w:cs="Times New Roman"/>
          <w:b/>
        </w:rPr>
        <w:t>2.1.3. A „</w:t>
      </w:r>
      <w:r w:rsidRPr="00153388">
        <w:rPr>
          <w:rFonts w:ascii="Times New Roman" w:hAnsi="Times New Roman" w:cs="Times New Roman"/>
          <w:b/>
          <w:i/>
          <w:u w:val="single"/>
        </w:rPr>
        <w:t>szolgáltatások” kategóriába</w:t>
      </w:r>
      <w:r w:rsidRPr="00153388">
        <w:rPr>
          <w:rFonts w:ascii="Times New Roman" w:hAnsi="Times New Roman" w:cs="Times New Roman"/>
          <w:b/>
          <w:i/>
        </w:rPr>
        <w:t xml:space="preserve"> </w:t>
      </w:r>
      <w:r w:rsidR="009F49DE" w:rsidRPr="00153388">
        <w:rPr>
          <w:rFonts w:ascii="Times New Roman" w:hAnsi="Times New Roman" w:cs="Times New Roman"/>
          <w:b/>
          <w:i/>
        </w:rPr>
        <w:t>az összes ügy</w:t>
      </w:r>
      <w:r w:rsidRPr="00153388">
        <w:rPr>
          <w:rFonts w:ascii="Times New Roman" w:hAnsi="Times New Roman" w:cs="Times New Roman"/>
          <w:b/>
          <w:i/>
        </w:rPr>
        <w:t xml:space="preserve"> egyharmadát </w:t>
      </w:r>
      <w:r w:rsidR="009F49DE" w:rsidRPr="00153388">
        <w:rPr>
          <w:rFonts w:ascii="Times New Roman" w:hAnsi="Times New Roman" w:cs="Times New Roman"/>
          <w:b/>
          <w:i/>
        </w:rPr>
        <w:t xml:space="preserve">soroltuk be. </w:t>
      </w:r>
      <w:r w:rsidR="009F49DE" w:rsidRPr="00153388">
        <w:rPr>
          <w:rFonts w:ascii="Times New Roman" w:hAnsi="Times New Roman" w:cs="Times New Roman"/>
        </w:rPr>
        <w:t>A befejezett</w:t>
      </w:r>
      <w:r w:rsidR="00726648" w:rsidRPr="00153388">
        <w:rPr>
          <w:rFonts w:ascii="Times New Roman" w:hAnsi="Times New Roman" w:cs="Times New Roman"/>
        </w:rPr>
        <w:t xml:space="preserve"> 112 szolgáltatási ügy közül 20 tartozott az </w:t>
      </w:r>
      <w:r w:rsidR="00726648" w:rsidRPr="00153388">
        <w:rPr>
          <w:rFonts w:ascii="Times New Roman" w:hAnsi="Times New Roman" w:cs="Times New Roman"/>
          <w:b/>
          <w:i/>
          <w:u w:val="single"/>
        </w:rPr>
        <w:t>épít</w:t>
      </w:r>
      <w:r w:rsidR="00ED25AB" w:rsidRPr="00153388">
        <w:rPr>
          <w:rFonts w:ascii="Times New Roman" w:hAnsi="Times New Roman" w:cs="Times New Roman"/>
          <w:b/>
          <w:i/>
          <w:u w:val="single"/>
        </w:rPr>
        <w:t>őipari kivitelezés kategóriába</w:t>
      </w:r>
      <w:r w:rsidR="00A23BAA" w:rsidRPr="00153388">
        <w:rPr>
          <w:rFonts w:ascii="Times New Roman" w:hAnsi="Times New Roman" w:cs="Times New Roman"/>
          <w:b/>
          <w:i/>
          <w:u w:val="single"/>
        </w:rPr>
        <w:t xml:space="preserve"> (9 az első félévben és 11, a másodikban)</w:t>
      </w:r>
      <w:r w:rsidR="00ED25AB" w:rsidRPr="00153388">
        <w:rPr>
          <w:rFonts w:ascii="Times New Roman" w:hAnsi="Times New Roman" w:cs="Times New Roman"/>
          <w:b/>
          <w:i/>
          <w:u w:val="single"/>
        </w:rPr>
        <w:t xml:space="preserve">, </w:t>
      </w:r>
      <w:r w:rsidR="00ED25AB" w:rsidRPr="00153388">
        <w:rPr>
          <w:rFonts w:ascii="Times New Roman" w:hAnsi="Times New Roman" w:cs="Times New Roman"/>
        </w:rPr>
        <w:t>tehát nincs számottevő változás a korábbi évhez (23) viszonyítva.  Talán a nyílászárók beépítése, javítása (statisztika E oszlop) tekintetében említhető a 12-ről 7-re való csökkenés.</w:t>
      </w:r>
    </w:p>
    <w:p w:rsidR="00ED25AB" w:rsidRPr="00153388" w:rsidRDefault="00ED25AB">
      <w:pPr>
        <w:rPr>
          <w:rFonts w:ascii="Times New Roman" w:hAnsi="Times New Roman" w:cs="Times New Roman"/>
        </w:rPr>
      </w:pPr>
    </w:p>
    <w:p w:rsidR="00C51E08" w:rsidRPr="00153388" w:rsidRDefault="00C51E08">
      <w:pPr>
        <w:rPr>
          <w:rFonts w:ascii="Times New Roman" w:hAnsi="Times New Roman" w:cs="Times New Roman"/>
        </w:rPr>
      </w:pPr>
      <w:r w:rsidRPr="00153388">
        <w:rPr>
          <w:rFonts w:ascii="Times New Roman" w:hAnsi="Times New Roman" w:cs="Times New Roman"/>
        </w:rPr>
        <w:t xml:space="preserve">A </w:t>
      </w:r>
      <w:r w:rsidRPr="00153388">
        <w:rPr>
          <w:rFonts w:ascii="Times New Roman" w:hAnsi="Times New Roman" w:cs="Times New Roman"/>
          <w:b/>
          <w:i/>
          <w:u w:val="single"/>
        </w:rPr>
        <w:t xml:space="preserve">közüzemi szolgáltatásokkal </w:t>
      </w:r>
      <w:r w:rsidRPr="00153388">
        <w:rPr>
          <w:rFonts w:ascii="Times New Roman" w:hAnsi="Times New Roman" w:cs="Times New Roman"/>
        </w:rPr>
        <w:t>(statisztika Y=távfő, Z=víz, csatorna, AA=hulladék, AB=gáz, AC=villamos</w:t>
      </w:r>
      <w:r w:rsidR="00A23BAA" w:rsidRPr="00153388">
        <w:rPr>
          <w:rFonts w:ascii="Times New Roman" w:hAnsi="Times New Roman" w:cs="Times New Roman"/>
        </w:rPr>
        <w:t xml:space="preserve"> </w:t>
      </w:r>
      <w:r w:rsidRPr="00153388">
        <w:rPr>
          <w:rFonts w:ascii="Times New Roman" w:hAnsi="Times New Roman" w:cs="Times New Roman"/>
        </w:rPr>
        <w:t xml:space="preserve">energia) kapcsolatos döntést 24 esetben </w:t>
      </w:r>
      <w:r w:rsidR="00A23BAA" w:rsidRPr="00153388">
        <w:rPr>
          <w:rFonts w:ascii="Times New Roman" w:hAnsi="Times New Roman" w:cs="Times New Roman"/>
        </w:rPr>
        <w:t xml:space="preserve">(első félév 8 eset, második  16) </w:t>
      </w:r>
      <w:r w:rsidRPr="00153388">
        <w:rPr>
          <w:rFonts w:ascii="Times New Roman" w:hAnsi="Times New Roman" w:cs="Times New Roman"/>
        </w:rPr>
        <w:t>hoztak a tanácsok, a 2014-es évbeli 33-mal szemben.</w:t>
      </w:r>
    </w:p>
    <w:p w:rsidR="00C51E08" w:rsidRPr="00153388" w:rsidRDefault="00C51E08">
      <w:pPr>
        <w:rPr>
          <w:rFonts w:ascii="Times New Roman" w:hAnsi="Times New Roman" w:cs="Times New Roman"/>
        </w:rPr>
      </w:pPr>
    </w:p>
    <w:p w:rsidR="00C51E08" w:rsidRPr="00153388" w:rsidRDefault="00C51E08" w:rsidP="00C51E08">
      <w:pPr>
        <w:rPr>
          <w:rFonts w:ascii="Times New Roman" w:eastAsia="Times New Roman" w:hAnsi="Times New Roman" w:cs="Times New Roman"/>
          <w:bCs/>
          <w:iCs/>
          <w:lang w:eastAsia="hu-HU"/>
        </w:rPr>
      </w:pPr>
      <w:r w:rsidRPr="00153388">
        <w:rPr>
          <w:rFonts w:ascii="Times New Roman" w:hAnsi="Times New Roman" w:cs="Times New Roman"/>
        </w:rPr>
        <w:t xml:space="preserve">A </w:t>
      </w:r>
      <w:r w:rsidRPr="00153388">
        <w:rPr>
          <w:rFonts w:ascii="Times New Roman" w:hAnsi="Times New Roman" w:cs="Times New Roman"/>
          <w:b/>
          <w:i/>
        </w:rPr>
        <w:t xml:space="preserve">villamosenergia </w:t>
      </w:r>
      <w:r w:rsidRPr="00153388">
        <w:rPr>
          <w:rFonts w:ascii="Times New Roman" w:hAnsi="Times New Roman" w:cs="Times New Roman"/>
          <w:i/>
        </w:rPr>
        <w:t>ügyek száma 16-ról 9-re csökkent</w:t>
      </w:r>
      <w:r w:rsidR="006418B7">
        <w:rPr>
          <w:rFonts w:ascii="Times New Roman" w:hAnsi="Times New Roman" w:cs="Times New Roman"/>
          <w:i/>
        </w:rPr>
        <w:t>,</w:t>
      </w:r>
      <w:r w:rsidRPr="00153388">
        <w:rPr>
          <w:rFonts w:ascii="Times New Roman" w:hAnsi="Times New Roman" w:cs="Times New Roman"/>
          <w:b/>
          <w:i/>
        </w:rPr>
        <w:t xml:space="preserve"> </w:t>
      </w:r>
      <w:r w:rsidRPr="00153388">
        <w:rPr>
          <w:rFonts w:ascii="Times New Roman" w:hAnsi="Times New Roman" w:cs="Times New Roman"/>
          <w:i/>
        </w:rPr>
        <w:t xml:space="preserve">ugyancsak ez volt e helyzet a hulladékkal (8-5) is. </w:t>
      </w:r>
      <w:r w:rsidRPr="00153388">
        <w:rPr>
          <w:rFonts w:ascii="Times New Roman" w:eastAsia="Times New Roman" w:hAnsi="Times New Roman" w:cs="Times New Roman"/>
          <w:bCs/>
          <w:i/>
          <w:iCs/>
          <w:lang w:eastAsia="hu-HU"/>
        </w:rPr>
        <w:t xml:space="preserve">Ez utóbbiak egyrészt a mentességekkel vannak összefüggésben, másrészt pedig azzal, hogy a szolgáltatók a kintlévőségeik behajtására sokkal inkább rászorultak, mint voltak a rezsicsökkentés előtt (bevallottan, vagy bevallatlanul is). </w:t>
      </w:r>
      <w:r w:rsidRPr="00153388">
        <w:rPr>
          <w:rFonts w:ascii="Times New Roman" w:eastAsia="Times New Roman" w:hAnsi="Times New Roman" w:cs="Times New Roman"/>
          <w:bCs/>
          <w:iCs/>
          <w:lang w:eastAsia="hu-HU"/>
        </w:rPr>
        <w:t>A Fogyasztók nehezen értik meg, hogy a szolgáltatás kötelező igénybevételét a hulladékkal kapcsolatos törvény, illetve annak alapján az önkormányzati rendeletek írják elő</w:t>
      </w:r>
      <w:r w:rsidR="000D5EBA" w:rsidRPr="00153388">
        <w:rPr>
          <w:rFonts w:ascii="Times New Roman" w:eastAsia="Times New Roman" w:hAnsi="Times New Roman" w:cs="Times New Roman"/>
          <w:bCs/>
          <w:iCs/>
          <w:lang w:eastAsia="hu-HU"/>
        </w:rPr>
        <w:t>. Gondot jelent a társasházak esetében a hátralékosok kezelése, az adók módjára történő behajtás is.</w:t>
      </w:r>
    </w:p>
    <w:p w:rsidR="00C51E08" w:rsidRPr="00153388" w:rsidRDefault="000D5EBA">
      <w:pPr>
        <w:rPr>
          <w:rFonts w:ascii="Times New Roman" w:hAnsi="Times New Roman" w:cs="Times New Roman"/>
        </w:rPr>
      </w:pPr>
      <w:r w:rsidRPr="00153388">
        <w:rPr>
          <w:rFonts w:ascii="Times New Roman" w:eastAsia="Times New Roman" w:hAnsi="Times New Roman" w:cs="Times New Roman"/>
          <w:bCs/>
          <w:iCs/>
          <w:lang w:eastAsia="hu-HU"/>
        </w:rPr>
        <w:t>A „vizes ügyek” egy része az „elfolyt” vízzel kapcsolatos szabályból ered. A vízhasználó nehezen érti meg, hogy mi indokolja azt a szabályt, hogy ha pl. egy udvari csap elfagyása miatt történik a vízelfolyás, akkor azt miért veszik szennyvíznek is, amikor a csatornába nem folyik bele.</w:t>
      </w:r>
    </w:p>
    <w:p w:rsidR="00C51E08" w:rsidRPr="00153388" w:rsidRDefault="00C51E08">
      <w:pPr>
        <w:rPr>
          <w:rFonts w:ascii="Times New Roman" w:hAnsi="Times New Roman" w:cs="Times New Roman"/>
        </w:rPr>
      </w:pPr>
    </w:p>
    <w:p w:rsidR="00ED25AB" w:rsidRPr="00153388" w:rsidRDefault="00ED25AB">
      <w:pPr>
        <w:rPr>
          <w:rFonts w:ascii="Times New Roman" w:hAnsi="Times New Roman" w:cs="Times New Roman"/>
        </w:rPr>
      </w:pPr>
      <w:r w:rsidRPr="00153388">
        <w:rPr>
          <w:rFonts w:ascii="Times New Roman" w:hAnsi="Times New Roman" w:cs="Times New Roman"/>
        </w:rPr>
        <w:t xml:space="preserve">Az </w:t>
      </w:r>
      <w:r w:rsidRPr="00153388">
        <w:rPr>
          <w:rFonts w:ascii="Times New Roman" w:hAnsi="Times New Roman" w:cs="Times New Roman"/>
          <w:b/>
          <w:i/>
          <w:u w:val="single"/>
        </w:rPr>
        <w:t>üdülési joggal</w:t>
      </w:r>
      <w:r w:rsidRPr="00153388">
        <w:rPr>
          <w:rFonts w:ascii="Times New Roman" w:hAnsi="Times New Roman" w:cs="Times New Roman"/>
        </w:rPr>
        <w:t xml:space="preserve"> kapcsolatos ügyszám (statisztika M oszlop) 0-ról 7-re emelkedett</w:t>
      </w:r>
      <w:r w:rsidR="00A23BAA" w:rsidRPr="00153388">
        <w:rPr>
          <w:rFonts w:ascii="Times New Roman" w:hAnsi="Times New Roman" w:cs="Times New Roman"/>
        </w:rPr>
        <w:t xml:space="preserve"> (4 az első, 3 a második félévben)</w:t>
      </w:r>
      <w:r w:rsidRPr="00153388">
        <w:rPr>
          <w:rFonts w:ascii="Times New Roman" w:hAnsi="Times New Roman" w:cs="Times New Roman"/>
        </w:rPr>
        <w:t xml:space="preserve">. A tulajdonképpeni „megfoghatatlan” értékesítési ajánlatokkal arra is volt példa, hogy az eladási szándék ellenére még egy </w:t>
      </w:r>
      <w:r w:rsidR="00996C0A">
        <w:rPr>
          <w:rFonts w:ascii="Times New Roman" w:hAnsi="Times New Roman" w:cs="Times New Roman"/>
        </w:rPr>
        <w:t xml:space="preserve">üdülési </w:t>
      </w:r>
      <w:r w:rsidRPr="00153388">
        <w:rPr>
          <w:rFonts w:ascii="Times New Roman" w:hAnsi="Times New Roman" w:cs="Times New Roman"/>
        </w:rPr>
        <w:t>jogot vásárolt meg a Fogyasztó, abban a „tudatban”, hogy így könnyebb lesz eladni</w:t>
      </w:r>
      <w:r w:rsidR="00996C0A">
        <w:rPr>
          <w:rFonts w:ascii="Times New Roman" w:hAnsi="Times New Roman" w:cs="Times New Roman"/>
        </w:rPr>
        <w:t>a</w:t>
      </w:r>
      <w:r w:rsidRPr="00153388">
        <w:rPr>
          <w:rFonts w:ascii="Times New Roman" w:hAnsi="Times New Roman" w:cs="Times New Roman"/>
        </w:rPr>
        <w:t xml:space="preserve"> a</w:t>
      </w:r>
      <w:r w:rsidR="00996C0A">
        <w:rPr>
          <w:rFonts w:ascii="Times New Roman" w:hAnsi="Times New Roman" w:cs="Times New Roman"/>
        </w:rPr>
        <w:t>z eredeti</w:t>
      </w:r>
      <w:r w:rsidR="00BC11C3" w:rsidRPr="00153388">
        <w:rPr>
          <w:rFonts w:ascii="Times New Roman" w:hAnsi="Times New Roman" w:cs="Times New Roman"/>
        </w:rPr>
        <w:t xml:space="preserve"> jogot. </w:t>
      </w:r>
    </w:p>
    <w:p w:rsidR="00BC11C3" w:rsidRPr="00153388" w:rsidRDefault="00BC11C3">
      <w:pPr>
        <w:rPr>
          <w:rFonts w:ascii="Times New Roman" w:hAnsi="Times New Roman" w:cs="Times New Roman"/>
        </w:rPr>
      </w:pPr>
    </w:p>
    <w:p w:rsidR="00BC11C3" w:rsidRPr="00153388" w:rsidRDefault="00BC11C3">
      <w:pPr>
        <w:rPr>
          <w:rFonts w:ascii="Times New Roman" w:hAnsi="Times New Roman" w:cs="Times New Roman"/>
        </w:rPr>
      </w:pPr>
      <w:r w:rsidRPr="00153388">
        <w:rPr>
          <w:rFonts w:ascii="Times New Roman" w:hAnsi="Times New Roman" w:cs="Times New Roman"/>
          <w:b/>
          <w:i/>
          <w:u w:val="single"/>
        </w:rPr>
        <w:t xml:space="preserve">Parkolással kapcsolatosan </w:t>
      </w:r>
      <w:r w:rsidRPr="00153388">
        <w:rPr>
          <w:rFonts w:ascii="Times New Roman" w:hAnsi="Times New Roman" w:cs="Times New Roman"/>
        </w:rPr>
        <w:t>(statisztika S oszlop) ugyancsak 5 ügyben jártunk e</w:t>
      </w:r>
      <w:r w:rsidR="00A23BAA" w:rsidRPr="00153388">
        <w:rPr>
          <w:rFonts w:ascii="Times New Roman" w:hAnsi="Times New Roman" w:cs="Times New Roman"/>
        </w:rPr>
        <w:t xml:space="preserve"> (első félév 2, második 3)</w:t>
      </w:r>
      <w:r w:rsidRPr="00153388">
        <w:rPr>
          <w:rFonts w:ascii="Times New Roman" w:hAnsi="Times New Roman" w:cs="Times New Roman"/>
        </w:rPr>
        <w:t>l, elsősorban budapesti parkolásokkal összefüggésben. A honlapon is közzétettük a Budapesti Békéltető Testület közleményét, amely e témakörrel foglalkozott.</w:t>
      </w:r>
    </w:p>
    <w:p w:rsidR="00BC11C3" w:rsidRPr="00153388" w:rsidRDefault="00BC11C3">
      <w:pPr>
        <w:rPr>
          <w:rFonts w:ascii="Times New Roman" w:hAnsi="Times New Roman" w:cs="Times New Roman"/>
        </w:rPr>
      </w:pPr>
    </w:p>
    <w:p w:rsidR="00BC11C3" w:rsidRPr="00153388" w:rsidRDefault="00BC11C3">
      <w:pPr>
        <w:rPr>
          <w:rFonts w:ascii="Times New Roman" w:hAnsi="Times New Roman" w:cs="Times New Roman"/>
        </w:rPr>
      </w:pPr>
      <w:r w:rsidRPr="00153388">
        <w:rPr>
          <w:rFonts w:ascii="Times New Roman" w:hAnsi="Times New Roman" w:cs="Times New Roman"/>
          <w:b/>
          <w:i/>
          <w:u w:val="single"/>
        </w:rPr>
        <w:t xml:space="preserve">Posta és távközlés kategóriában </w:t>
      </w:r>
      <w:r w:rsidRPr="00153388">
        <w:rPr>
          <w:rFonts w:ascii="Times New Roman" w:hAnsi="Times New Roman" w:cs="Times New Roman"/>
        </w:rPr>
        <w:t xml:space="preserve">(statisztika U-V-WX oszlopok) a klasszikus postai szolgáltatásokkal (levél feladás) kapcsolatos észrevételek 1-ről 4-re </w:t>
      </w:r>
      <w:r w:rsidR="0018257E" w:rsidRPr="00153388">
        <w:rPr>
          <w:rFonts w:ascii="Times New Roman" w:hAnsi="Times New Roman" w:cs="Times New Roman"/>
        </w:rPr>
        <w:t xml:space="preserve">(mind a 4 a második félévben volt) </w:t>
      </w:r>
      <w:r w:rsidRPr="00153388">
        <w:rPr>
          <w:rFonts w:ascii="Times New Roman" w:hAnsi="Times New Roman" w:cs="Times New Roman"/>
        </w:rPr>
        <w:t>emelkedtek.</w:t>
      </w:r>
    </w:p>
    <w:p w:rsidR="00727664" w:rsidRPr="00153388" w:rsidRDefault="00727664">
      <w:pPr>
        <w:rPr>
          <w:rFonts w:ascii="Times New Roman" w:hAnsi="Times New Roman" w:cs="Times New Roman"/>
        </w:rPr>
      </w:pPr>
      <w:r w:rsidRPr="00153388">
        <w:rPr>
          <w:rFonts w:ascii="Times New Roman" w:hAnsi="Times New Roman" w:cs="Times New Roman"/>
        </w:rPr>
        <w:t>A feladott küldemények eltűnése, elvesztése alapvetően mindenkinek gondot jelent. A keresési időtartam miatt további feszültségeket okozhat, de k</w:t>
      </w:r>
      <w:r w:rsidR="00BC11C3" w:rsidRPr="00153388">
        <w:rPr>
          <w:rFonts w:ascii="Times New Roman" w:hAnsi="Times New Roman" w:cs="Times New Roman"/>
        </w:rPr>
        <w:t>i kell emelni</w:t>
      </w:r>
      <w:r w:rsidRPr="00153388">
        <w:rPr>
          <w:rFonts w:ascii="Times New Roman" w:hAnsi="Times New Roman" w:cs="Times New Roman"/>
        </w:rPr>
        <w:t xml:space="preserve"> azt is</w:t>
      </w:r>
      <w:r w:rsidR="00BC11C3" w:rsidRPr="00153388">
        <w:rPr>
          <w:rFonts w:ascii="Times New Roman" w:hAnsi="Times New Roman" w:cs="Times New Roman"/>
        </w:rPr>
        <w:t xml:space="preserve">, hogy ezek </w:t>
      </w:r>
      <w:r w:rsidRPr="00153388">
        <w:rPr>
          <w:rFonts w:ascii="Times New Roman" w:hAnsi="Times New Roman" w:cs="Times New Roman"/>
        </w:rPr>
        <w:t xml:space="preserve">a testülethez fordulás </w:t>
      </w:r>
      <w:r w:rsidR="00BC11C3" w:rsidRPr="00153388">
        <w:rPr>
          <w:rFonts w:ascii="Times New Roman" w:hAnsi="Times New Roman" w:cs="Times New Roman"/>
        </w:rPr>
        <w:t xml:space="preserve">abból származott, hogy a Fogyasztók (a levelet feladók) </w:t>
      </w:r>
      <w:r w:rsidRPr="00153388">
        <w:rPr>
          <w:rFonts w:ascii="Times New Roman" w:hAnsi="Times New Roman" w:cs="Times New Roman"/>
        </w:rPr>
        <w:t xml:space="preserve">nem ismerték a kártalanítási szabályokat, és </w:t>
      </w:r>
      <w:r w:rsidR="00BC11C3" w:rsidRPr="00153388">
        <w:rPr>
          <w:rFonts w:ascii="Times New Roman" w:hAnsi="Times New Roman" w:cs="Times New Roman"/>
        </w:rPr>
        <w:t xml:space="preserve">– nem ismert okból </w:t>
      </w:r>
      <w:r w:rsidRPr="00153388">
        <w:rPr>
          <w:rFonts w:ascii="Times New Roman" w:hAnsi="Times New Roman" w:cs="Times New Roman"/>
        </w:rPr>
        <w:t xml:space="preserve">(talán spórolásból?) </w:t>
      </w:r>
      <w:r w:rsidR="00BC11C3" w:rsidRPr="00153388">
        <w:rPr>
          <w:rFonts w:ascii="Times New Roman" w:hAnsi="Times New Roman" w:cs="Times New Roman"/>
        </w:rPr>
        <w:t xml:space="preserve">– </w:t>
      </w:r>
      <w:r w:rsidRPr="00153388">
        <w:rPr>
          <w:rFonts w:ascii="Times New Roman" w:hAnsi="Times New Roman" w:cs="Times New Roman"/>
        </w:rPr>
        <w:t xml:space="preserve">a </w:t>
      </w:r>
      <w:r w:rsidR="00BC11C3" w:rsidRPr="00153388">
        <w:rPr>
          <w:rFonts w:ascii="Times New Roman" w:hAnsi="Times New Roman" w:cs="Times New Roman"/>
        </w:rPr>
        <w:t xml:space="preserve">nem értéknyilvánítással feladott levelük </w:t>
      </w:r>
      <w:r w:rsidRPr="00153388">
        <w:rPr>
          <w:rFonts w:ascii="Times New Roman" w:hAnsi="Times New Roman" w:cs="Times New Roman"/>
        </w:rPr>
        <w:t xml:space="preserve">után nagyobb kártérítésre számítottak. Az nem derült ki az ügyek tárgyalása során, hogy a postai alkalmazottak mennyire adtak előzetesen tájékoztatást az „ajánlott” és az „értéknyilvánítással” feladott küldemények elvesztése esetére érvényes szabályokról. Volt külföldre feladott, állítólagosan fontos okmányokat tartalmazó levél, amely eltűnt, és azt is kifogásolta a feladó, hogy a kártérítést miért nem az Egyesült Királyság szabályai szerinti összegben fizeti ki számára a Magyar Posta Zrt. </w:t>
      </w:r>
    </w:p>
    <w:p w:rsidR="00727664" w:rsidRPr="00153388" w:rsidRDefault="00727664">
      <w:pPr>
        <w:rPr>
          <w:rFonts w:ascii="Times New Roman" w:hAnsi="Times New Roman" w:cs="Times New Roman"/>
        </w:rPr>
      </w:pPr>
    </w:p>
    <w:p w:rsidR="00BC11C3" w:rsidRPr="00153388" w:rsidRDefault="00727664">
      <w:pPr>
        <w:rPr>
          <w:rFonts w:ascii="Times New Roman" w:hAnsi="Times New Roman" w:cs="Times New Roman"/>
        </w:rPr>
      </w:pPr>
      <w:r w:rsidRPr="00153388">
        <w:rPr>
          <w:rFonts w:ascii="Times New Roman" w:hAnsi="Times New Roman" w:cs="Times New Roman"/>
        </w:rPr>
        <w:t xml:space="preserve">A </w:t>
      </w:r>
      <w:r w:rsidR="00BC11C3" w:rsidRPr="00153388">
        <w:rPr>
          <w:rFonts w:ascii="Times New Roman" w:hAnsi="Times New Roman" w:cs="Times New Roman"/>
          <w:b/>
          <w:i/>
          <w:u w:val="single"/>
        </w:rPr>
        <w:t>telefonszolgáltatással</w:t>
      </w:r>
      <w:r w:rsidR="00BC11C3" w:rsidRPr="00153388">
        <w:rPr>
          <w:rFonts w:ascii="Times New Roman" w:hAnsi="Times New Roman" w:cs="Times New Roman"/>
          <w:b/>
          <w:i/>
        </w:rPr>
        <w:t xml:space="preserve"> </w:t>
      </w:r>
      <w:r w:rsidR="00BC11C3" w:rsidRPr="00153388">
        <w:rPr>
          <w:rFonts w:ascii="Times New Roman" w:hAnsi="Times New Roman" w:cs="Times New Roman"/>
        </w:rPr>
        <w:t xml:space="preserve">kapcsolatos panaszok száma 14-ről 7-re csökkent </w:t>
      </w:r>
      <w:r w:rsidRPr="00153388">
        <w:rPr>
          <w:rFonts w:ascii="Times New Roman" w:hAnsi="Times New Roman" w:cs="Times New Roman"/>
        </w:rPr>
        <w:t xml:space="preserve">(statisztika V oszlop), ugyanakkor az internet szolgáltatással összefüggő panaszok száma 2-ről 7-re </w:t>
      </w:r>
      <w:r w:rsidR="0018257E" w:rsidRPr="00153388">
        <w:rPr>
          <w:rFonts w:ascii="Times New Roman" w:hAnsi="Times New Roman" w:cs="Times New Roman"/>
        </w:rPr>
        <w:t xml:space="preserve">(mindegyik a második félévben került a testület elé) </w:t>
      </w:r>
      <w:r w:rsidRPr="00153388">
        <w:rPr>
          <w:rFonts w:ascii="Times New Roman" w:hAnsi="Times New Roman" w:cs="Times New Roman"/>
        </w:rPr>
        <w:t>növekedett (statisztika X oszlop).</w:t>
      </w:r>
    </w:p>
    <w:p w:rsidR="0038017A" w:rsidRPr="00153388" w:rsidRDefault="0038017A">
      <w:pPr>
        <w:rPr>
          <w:rFonts w:ascii="Times New Roman" w:hAnsi="Times New Roman" w:cs="Times New Roman"/>
        </w:rPr>
      </w:pPr>
    </w:p>
    <w:p w:rsidR="00207A1C" w:rsidRPr="00153388" w:rsidRDefault="00774F9C" w:rsidP="007C1922">
      <w:pPr>
        <w:rPr>
          <w:rFonts w:ascii="Times New Roman" w:eastAsia="Times New Roman" w:hAnsi="Times New Roman" w:cs="Times New Roman"/>
          <w:bCs/>
          <w:iCs/>
          <w:lang w:eastAsia="hu-HU"/>
        </w:rPr>
      </w:pPr>
      <w:r w:rsidRPr="00153388">
        <w:rPr>
          <w:rFonts w:ascii="Times New Roman" w:hAnsi="Times New Roman" w:cs="Times New Roman"/>
          <w:b/>
        </w:rPr>
        <w:t>2.1.4.</w:t>
      </w:r>
      <w:r w:rsidRPr="00153388">
        <w:rPr>
          <w:rFonts w:ascii="Times New Roman" w:hAnsi="Times New Roman" w:cs="Times New Roman"/>
          <w:b/>
          <w:i/>
        </w:rPr>
        <w:t xml:space="preserve"> </w:t>
      </w:r>
      <w:r w:rsidR="007C1922" w:rsidRPr="00153388">
        <w:rPr>
          <w:rFonts w:ascii="Times New Roman" w:eastAsia="Times New Roman" w:hAnsi="Times New Roman" w:cs="Times New Roman"/>
          <w:bCs/>
          <w:iCs/>
          <w:lang w:eastAsia="hu-HU"/>
        </w:rPr>
        <w:t xml:space="preserve">A problémák leküzdése érdekében az alábbiakban jelzetteket tartjuk fontosnak megjegyezni. </w:t>
      </w:r>
    </w:p>
    <w:p w:rsidR="007C1922" w:rsidRPr="00153388" w:rsidRDefault="00207A1C" w:rsidP="007C1922">
      <w:pPr>
        <w:rPr>
          <w:rFonts w:ascii="Times New Roman" w:eastAsia="Times New Roman" w:hAnsi="Times New Roman" w:cs="Times New Roman"/>
          <w:bCs/>
          <w:i/>
          <w:iCs/>
          <w:u w:val="single"/>
          <w:lang w:eastAsia="hu-HU"/>
        </w:rPr>
      </w:pPr>
      <w:r w:rsidRPr="00153388">
        <w:rPr>
          <w:rFonts w:ascii="Times New Roman" w:eastAsia="Times New Roman" w:hAnsi="Times New Roman" w:cs="Times New Roman"/>
          <w:b/>
          <w:bCs/>
          <w:iCs/>
          <w:lang w:eastAsia="hu-HU"/>
        </w:rPr>
        <w:t>[</w:t>
      </w:r>
      <w:r w:rsidR="007C1922" w:rsidRPr="00153388">
        <w:rPr>
          <w:rFonts w:ascii="Times New Roman" w:eastAsia="Times New Roman" w:hAnsi="Times New Roman" w:cs="Times New Roman"/>
          <w:bCs/>
          <w:iCs/>
          <w:lang w:eastAsia="hu-HU"/>
        </w:rPr>
        <w:t>Azt, hogy ezeket milyen módon lehetne kivitelezni</w:t>
      </w:r>
      <w:r w:rsidR="007C1922" w:rsidRPr="00153388">
        <w:rPr>
          <w:rFonts w:ascii="Times New Roman" w:eastAsia="Times New Roman" w:hAnsi="Times New Roman" w:cs="Times New Roman"/>
          <w:bCs/>
          <w:i/>
          <w:iCs/>
          <w:lang w:eastAsia="hu-HU"/>
        </w:rPr>
        <w:t xml:space="preserve"> (jogszabály-módosítással, egyeztetésekkel az érintett szakmai érdekképviseleti szervezetekkel – kik ezek? - , vagy elegendő-e a Fogyasztók tájékoztatása, vagy szükséges lenne-e a fok</w:t>
      </w:r>
      <w:r w:rsidRPr="00153388">
        <w:rPr>
          <w:rFonts w:ascii="Times New Roman" w:eastAsia="Times New Roman" w:hAnsi="Times New Roman" w:cs="Times New Roman"/>
          <w:bCs/>
          <w:i/>
          <w:iCs/>
          <w:lang w:eastAsia="hu-HU"/>
        </w:rPr>
        <w:t>ozottabb hatósági fellépés</w:t>
      </w:r>
      <w:r w:rsidR="007C1922" w:rsidRPr="00153388">
        <w:rPr>
          <w:rFonts w:ascii="Times New Roman" w:eastAsia="Times New Roman" w:hAnsi="Times New Roman" w:cs="Times New Roman"/>
          <w:bCs/>
          <w:i/>
          <w:iCs/>
          <w:lang w:eastAsia="hu-HU"/>
        </w:rPr>
        <w:t>)</w:t>
      </w:r>
      <w:r w:rsidRPr="00153388">
        <w:rPr>
          <w:rFonts w:ascii="Times New Roman" w:eastAsia="Times New Roman" w:hAnsi="Times New Roman" w:cs="Times New Roman"/>
          <w:bCs/>
          <w:i/>
          <w:iCs/>
          <w:lang w:eastAsia="hu-HU"/>
        </w:rPr>
        <w:t>, csak az országos észrevételek összegzése és elemzése után lenne lehetséges megmondani. Már itt jelezzük, hogy e</w:t>
      </w:r>
      <w:r w:rsidR="007C1922" w:rsidRPr="00153388">
        <w:rPr>
          <w:rFonts w:ascii="Times New Roman" w:eastAsia="Times New Roman" w:hAnsi="Times New Roman" w:cs="Times New Roman"/>
          <w:bCs/>
          <w:i/>
          <w:iCs/>
          <w:lang w:eastAsia="hu-HU"/>
        </w:rPr>
        <w:t xml:space="preserve">hhez kapcsolódóan </w:t>
      </w:r>
      <w:r w:rsidRPr="00153388">
        <w:rPr>
          <w:rFonts w:ascii="Times New Roman" w:eastAsia="Times New Roman" w:hAnsi="Times New Roman" w:cs="Times New Roman"/>
          <w:bCs/>
          <w:i/>
          <w:iCs/>
          <w:lang w:eastAsia="hu-HU"/>
        </w:rPr>
        <w:t xml:space="preserve">nem fogalmaztunk meg ajánlásokat – csak az egyes döntésekben jeleztük álláspontunkat. </w:t>
      </w:r>
      <w:r w:rsidRPr="00153388">
        <w:rPr>
          <w:rFonts w:ascii="Times New Roman" w:eastAsia="Times New Roman" w:hAnsi="Times New Roman" w:cs="Times New Roman"/>
          <w:b/>
          <w:bCs/>
          <w:iCs/>
          <w:lang w:eastAsia="hu-HU"/>
        </w:rPr>
        <w:t>]</w:t>
      </w:r>
    </w:p>
    <w:p w:rsidR="007C1922" w:rsidRPr="00153388" w:rsidRDefault="007C1922">
      <w:pPr>
        <w:rPr>
          <w:rFonts w:ascii="Times New Roman" w:hAnsi="Times New Roman" w:cs="Times New Roman"/>
          <w:b/>
          <w:i/>
        </w:rPr>
      </w:pPr>
    </w:p>
    <w:p w:rsidR="00232A6C" w:rsidRPr="00153388" w:rsidRDefault="00207A1C">
      <w:pPr>
        <w:rPr>
          <w:rFonts w:ascii="Times New Roman" w:hAnsi="Times New Roman" w:cs="Times New Roman"/>
        </w:rPr>
      </w:pPr>
      <w:r w:rsidRPr="00153388">
        <w:rPr>
          <w:rFonts w:ascii="Times New Roman" w:hAnsi="Times New Roman" w:cs="Times New Roman"/>
          <w:b/>
        </w:rPr>
        <w:t xml:space="preserve">2.1.4.1. </w:t>
      </w:r>
      <w:r w:rsidR="00232A6C" w:rsidRPr="00153388">
        <w:rPr>
          <w:rFonts w:ascii="Times New Roman" w:hAnsi="Times New Roman" w:cs="Times New Roman"/>
        </w:rPr>
        <w:t>A kiemelésekből, és az egyesekhez fűzött megjegyzésekből látható, hogy különösebb változás nem volt a Fogyasztói reagálásokban. Ha egy termék meghibásodott, ha egy szolgáltatással nem voltak megelégedve, akkor adott esetben a testülethez fordultak, azzal a reménnyel, hogy ott megoldják problémájukat.</w:t>
      </w:r>
    </w:p>
    <w:p w:rsidR="00774F9C" w:rsidRPr="00153388" w:rsidRDefault="00774F9C">
      <w:pPr>
        <w:rPr>
          <w:rFonts w:ascii="Times New Roman" w:hAnsi="Times New Roman" w:cs="Times New Roman"/>
        </w:rPr>
      </w:pPr>
    </w:p>
    <w:p w:rsidR="00232A6C" w:rsidRPr="00153388" w:rsidRDefault="00232A6C">
      <w:pPr>
        <w:rPr>
          <w:rFonts w:ascii="Times New Roman" w:hAnsi="Times New Roman" w:cs="Times New Roman"/>
        </w:rPr>
      </w:pPr>
      <w:r w:rsidRPr="00153388">
        <w:rPr>
          <w:rFonts w:ascii="Times New Roman" w:hAnsi="Times New Roman" w:cs="Times New Roman"/>
        </w:rPr>
        <w:t xml:space="preserve">Nem egyszerű a </w:t>
      </w:r>
      <w:r w:rsidRPr="00153388">
        <w:rPr>
          <w:rFonts w:ascii="Times New Roman" w:hAnsi="Times New Roman" w:cs="Times New Roman"/>
          <w:b/>
          <w:i/>
        </w:rPr>
        <w:t>hibás teljesítés és a termék meghibásodása közti különbséget</w:t>
      </w:r>
      <w:r w:rsidRPr="00153388">
        <w:rPr>
          <w:rFonts w:ascii="Times New Roman" w:hAnsi="Times New Roman" w:cs="Times New Roman"/>
        </w:rPr>
        <w:t xml:space="preserve"> megértetni, de nehéz elfogadni azt a napi problémát is, hogy néhány használat után felmondja a szolgálatot a termék, és a kifizetett – nem egyszer több tízezer forint – elveszik a Fogyasztó számára. De ugyanez a helyzet akkor is, amikor a közel félmilliós televízió készülék romlik el</w:t>
      </w:r>
      <w:r w:rsidR="00A839E2" w:rsidRPr="00153388">
        <w:rPr>
          <w:rFonts w:ascii="Times New Roman" w:hAnsi="Times New Roman" w:cs="Times New Roman"/>
        </w:rPr>
        <w:t>,</w:t>
      </w:r>
      <w:r w:rsidRPr="00153388">
        <w:rPr>
          <w:rFonts w:ascii="Times New Roman" w:hAnsi="Times New Roman" w:cs="Times New Roman"/>
        </w:rPr>
        <w:t xml:space="preserve"> alkatrészt már nem lehet hozzá beszerezni</w:t>
      </w:r>
      <w:r w:rsidR="00A839E2" w:rsidRPr="00153388">
        <w:rPr>
          <w:rFonts w:ascii="Times New Roman" w:hAnsi="Times New Roman" w:cs="Times New Roman"/>
        </w:rPr>
        <w:t>,</w:t>
      </w:r>
      <w:r w:rsidRPr="00153388">
        <w:rPr>
          <w:rFonts w:ascii="Times New Roman" w:hAnsi="Times New Roman" w:cs="Times New Roman"/>
        </w:rPr>
        <w:t xml:space="preserve"> az eladót nem találja meg</w:t>
      </w:r>
      <w:r w:rsidR="00A839E2" w:rsidRPr="00153388">
        <w:rPr>
          <w:rFonts w:ascii="Times New Roman" w:hAnsi="Times New Roman" w:cs="Times New Roman"/>
        </w:rPr>
        <w:t>, és kiderül, hogy már minden jogorvoslati határidő is lejárt. Talán jogosan vetik fel ilyen esetekben (is), hogy egyes termékeknél nem ártana az ún. „kihordási idő” kijelölése, illetve az alkatrészellátás biztosításának előírása.</w:t>
      </w:r>
    </w:p>
    <w:p w:rsidR="00A839E2" w:rsidRPr="00153388" w:rsidRDefault="00A839E2">
      <w:pPr>
        <w:rPr>
          <w:rFonts w:ascii="Times New Roman" w:hAnsi="Times New Roman" w:cs="Times New Roman"/>
        </w:rPr>
      </w:pPr>
    </w:p>
    <w:p w:rsidR="00A839E2" w:rsidRPr="00153388" w:rsidRDefault="00207A1C">
      <w:pPr>
        <w:rPr>
          <w:rFonts w:ascii="Times New Roman" w:hAnsi="Times New Roman" w:cs="Times New Roman"/>
        </w:rPr>
      </w:pPr>
      <w:r w:rsidRPr="00153388">
        <w:rPr>
          <w:rFonts w:ascii="Times New Roman" w:hAnsi="Times New Roman" w:cs="Times New Roman"/>
          <w:b/>
        </w:rPr>
        <w:t xml:space="preserve">2.1.4.2. </w:t>
      </w:r>
      <w:r w:rsidR="00A839E2" w:rsidRPr="00153388">
        <w:rPr>
          <w:rFonts w:ascii="Times New Roman" w:hAnsi="Times New Roman" w:cs="Times New Roman"/>
        </w:rPr>
        <w:t xml:space="preserve">Változatlan az az igény is, hogy talán </w:t>
      </w:r>
      <w:r w:rsidR="00A839E2" w:rsidRPr="00153388">
        <w:rPr>
          <w:rFonts w:ascii="Times New Roman" w:hAnsi="Times New Roman" w:cs="Times New Roman"/>
          <w:b/>
          <w:i/>
        </w:rPr>
        <w:t>szigorítani lehetne</w:t>
      </w:r>
      <w:r w:rsidR="00A839E2" w:rsidRPr="00153388">
        <w:rPr>
          <w:rFonts w:ascii="Times New Roman" w:hAnsi="Times New Roman" w:cs="Times New Roman"/>
        </w:rPr>
        <w:t xml:space="preserve"> (kellene) a szankcionálási lehetőségeket is, elsősorban az „ajánlások” tekintetében lenne erre mód. </w:t>
      </w:r>
    </w:p>
    <w:p w:rsidR="00A839E2" w:rsidRPr="00153388" w:rsidRDefault="00A839E2">
      <w:pPr>
        <w:rPr>
          <w:rFonts w:ascii="Times New Roman" w:hAnsi="Times New Roman" w:cs="Times New Roman"/>
        </w:rPr>
      </w:pPr>
      <w:r w:rsidRPr="00153388">
        <w:rPr>
          <w:rFonts w:ascii="Times New Roman" w:hAnsi="Times New Roman" w:cs="Times New Roman"/>
        </w:rPr>
        <w:t xml:space="preserve">Bár tisztában vagyunk azzal, hogy a közzétett Vállalkozásokon kívül mások sem biztos, hogy teljesítették az ajánlást, tehát nem teljesen helyes a teljesítések aránya, de a szigorítási lehetőséget támasztja alá az a tény is, hogy a Vállalkozások nem támadták meg az ajánlásokat 2015-ben sem, és nem emeltek kifogást a kötelezések ellen sem. Ez mindenesetre – az említett „hibaszázalék” mellett is – azt jelenti, hogy megalapozottnak értékelhető az ő részükről is a testületi döntés. Tudjuk persze azt is, hogy lehetnek olyan </w:t>
      </w:r>
      <w:r w:rsidR="00830E45" w:rsidRPr="00153388">
        <w:rPr>
          <w:rFonts w:ascii="Times New Roman" w:hAnsi="Times New Roman" w:cs="Times New Roman"/>
        </w:rPr>
        <w:t>Vállalkozás</w:t>
      </w:r>
      <w:r w:rsidRPr="00153388">
        <w:rPr>
          <w:rFonts w:ascii="Times New Roman" w:hAnsi="Times New Roman" w:cs="Times New Roman"/>
        </w:rPr>
        <w:t>ok is köztük, akik – tudva, hogy a Fogyasztó nem megy más jogi útra, mert az időigényesebb, bizonytalan kimenetelű, és nem utolsó sorban ebből adódóan pénzébe is kerül(het)</w:t>
      </w:r>
      <w:r w:rsidR="00774F9C" w:rsidRPr="00153388">
        <w:rPr>
          <w:rFonts w:ascii="Times New Roman" w:hAnsi="Times New Roman" w:cs="Times New Roman"/>
        </w:rPr>
        <w:t>. Az is előfordulhat, hogy az a véleménye:</w:t>
      </w:r>
      <w:r w:rsidRPr="00153388">
        <w:rPr>
          <w:rFonts w:ascii="Times New Roman" w:hAnsi="Times New Roman" w:cs="Times New Roman"/>
        </w:rPr>
        <w:t xml:space="preserve"> </w:t>
      </w:r>
      <w:r w:rsidR="00774F9C" w:rsidRPr="00153388">
        <w:rPr>
          <w:rFonts w:ascii="Times New Roman" w:hAnsi="Times New Roman" w:cs="Times New Roman"/>
        </w:rPr>
        <w:t>„úgy se tudják rajtam végrehajtani az ajánlást”, vagy „ki olvassa el a testület honlapját?” – tehát nem foglalkozik a reparálással.</w:t>
      </w:r>
    </w:p>
    <w:p w:rsidR="00774F9C" w:rsidRPr="00153388" w:rsidRDefault="00774F9C">
      <w:pPr>
        <w:rPr>
          <w:rFonts w:ascii="Times New Roman" w:hAnsi="Times New Roman" w:cs="Times New Roman"/>
        </w:rPr>
      </w:pPr>
      <w:r w:rsidRPr="00153388">
        <w:rPr>
          <w:rFonts w:ascii="Times New Roman" w:hAnsi="Times New Roman" w:cs="Times New Roman"/>
        </w:rPr>
        <w:t>A Fogyasztóval jogviszonyban álló eladók részére „kényelmes” az a hivatkozási alap is, amit fentebb már a szervizekkel kapcsolatosan jeleztünk.</w:t>
      </w:r>
    </w:p>
    <w:p w:rsidR="00232A6C" w:rsidRPr="00153388" w:rsidRDefault="00232A6C">
      <w:pPr>
        <w:rPr>
          <w:rFonts w:ascii="Times New Roman" w:hAnsi="Times New Roman" w:cs="Times New Roman"/>
        </w:rPr>
      </w:pPr>
    </w:p>
    <w:p w:rsidR="00774F9C" w:rsidRPr="00153388" w:rsidRDefault="00207A1C">
      <w:pPr>
        <w:rPr>
          <w:rFonts w:ascii="Times New Roman" w:hAnsi="Times New Roman" w:cs="Times New Roman"/>
        </w:rPr>
      </w:pPr>
      <w:r w:rsidRPr="00153388">
        <w:rPr>
          <w:rFonts w:ascii="Times New Roman" w:hAnsi="Times New Roman" w:cs="Times New Roman"/>
          <w:b/>
        </w:rPr>
        <w:t>2.1.4.3.</w:t>
      </w:r>
      <w:r w:rsidR="00774F9C" w:rsidRPr="00153388">
        <w:rPr>
          <w:rFonts w:ascii="Times New Roman" w:hAnsi="Times New Roman" w:cs="Times New Roman"/>
        </w:rPr>
        <w:t xml:space="preserve">Amíg nincsenek meg a személyi és egyéb feltételei a szigorításnak, addig is célszerű lenne azon a helyzeten is változtatni – ezzel segítve a valósabb eredmény kimutatásának lehetőségét is -, hogy </w:t>
      </w:r>
      <w:r w:rsidR="00774F9C" w:rsidRPr="00153388">
        <w:rPr>
          <w:rFonts w:ascii="Times New Roman" w:hAnsi="Times New Roman" w:cs="Times New Roman"/>
          <w:i/>
        </w:rPr>
        <w:t>ne hatvan napon túl lehessen közzétenni</w:t>
      </w:r>
      <w:r w:rsidR="00774F9C" w:rsidRPr="00153388">
        <w:rPr>
          <w:rFonts w:ascii="Times New Roman" w:hAnsi="Times New Roman" w:cs="Times New Roman"/>
        </w:rPr>
        <w:t>, ha az ajánlást nem teljesítik. A békéltető eljárásban szlogen volt, „gyors, hatékony”.  Hatvan napon belülre meghallgatást kell kitűzni, 90 napon belül be kell fejezni az eljárást – főszabályként. Bizonyára országosan sem rosszabb a 30-45 napos befejezési időtartamnál az átlag. Vagyis ahhoz, hogy a „szankció” megjelenhessen, ahhoz legalább a döntés kézhezvételét követően még hatvan napot kell várni.</w:t>
      </w:r>
    </w:p>
    <w:p w:rsidR="00774F9C" w:rsidRPr="00153388" w:rsidRDefault="00774F9C">
      <w:pPr>
        <w:rPr>
          <w:rFonts w:ascii="Times New Roman" w:hAnsi="Times New Roman" w:cs="Times New Roman"/>
        </w:rPr>
      </w:pPr>
      <w:r w:rsidRPr="00153388">
        <w:rPr>
          <w:rFonts w:ascii="Times New Roman" w:hAnsi="Times New Roman" w:cs="Times New Roman"/>
        </w:rPr>
        <w:t xml:space="preserve">Azt szoktuk mondani, hogy addigra a Fogyasztó „mérge”, az elégtétel utáni „vágya” már olyan szintre esik vissza, hogy </w:t>
      </w:r>
      <w:r w:rsidR="00E50881" w:rsidRPr="00153388">
        <w:rPr>
          <w:rFonts w:ascii="Times New Roman" w:hAnsi="Times New Roman" w:cs="Times New Roman"/>
        </w:rPr>
        <w:t>nem biztos, hogy be is jelenti a teljesítés elmaradását. Az évek óta feltett kérdésre: miért kell 60 napot várni, nincs magyarázat.</w:t>
      </w:r>
    </w:p>
    <w:p w:rsidR="00A62422" w:rsidRPr="00153388" w:rsidRDefault="00A62422">
      <w:pPr>
        <w:rPr>
          <w:rFonts w:ascii="Times New Roman" w:hAnsi="Times New Roman" w:cs="Times New Roman"/>
        </w:rPr>
      </w:pPr>
    </w:p>
    <w:p w:rsidR="007C1922" w:rsidRPr="00153388" w:rsidRDefault="00207A1C" w:rsidP="00207A1C">
      <w:pPr>
        <w:autoSpaceDE w:val="0"/>
        <w:autoSpaceDN w:val="0"/>
        <w:adjustRightInd w:val="0"/>
        <w:rPr>
          <w:rFonts w:ascii="Times New Roman" w:hAnsi="Times New Roman" w:cs="Times New Roman"/>
          <w:b/>
        </w:rPr>
      </w:pPr>
      <w:r w:rsidRPr="00153388">
        <w:rPr>
          <w:rFonts w:ascii="Times New Roman" w:hAnsi="Times New Roman" w:cs="Times New Roman"/>
          <w:b/>
        </w:rPr>
        <w:t xml:space="preserve">2.1.4.4. </w:t>
      </w:r>
      <w:r w:rsidR="007C1922" w:rsidRPr="00153388">
        <w:rPr>
          <w:rFonts w:ascii="Times New Roman" w:hAnsi="Times New Roman" w:cs="Times New Roman"/>
          <w:b/>
          <w:bCs/>
          <w:i/>
          <w:iCs/>
        </w:rPr>
        <w:t xml:space="preserve">A testület – </w:t>
      </w:r>
      <w:r w:rsidR="007C1922" w:rsidRPr="00153388">
        <w:rPr>
          <w:rFonts w:ascii="Times New Roman" w:hAnsi="Times New Roman" w:cs="Times New Roman"/>
          <w:bCs/>
          <w:i/>
          <w:iCs/>
        </w:rPr>
        <w:t>a budapesti testület nyilvánosságra hozott ajánlásaihoz hasonló</w:t>
      </w:r>
      <w:r w:rsidR="007C1922" w:rsidRPr="00153388">
        <w:rPr>
          <w:rFonts w:ascii="Times New Roman" w:hAnsi="Times New Roman" w:cs="Times New Roman"/>
          <w:b/>
          <w:bCs/>
          <w:i/>
          <w:iCs/>
        </w:rPr>
        <w:t xml:space="preserve"> - ajánlásokat nem fogalmazott meg</w:t>
      </w:r>
      <w:r w:rsidR="007C1922" w:rsidRPr="006418B7">
        <w:rPr>
          <w:rFonts w:ascii="Times New Roman" w:hAnsi="Times New Roman" w:cs="Times New Roman"/>
          <w:b/>
          <w:bCs/>
          <w:i/>
          <w:iCs/>
        </w:rPr>
        <w:t>.</w:t>
      </w:r>
      <w:r w:rsidR="007C1922" w:rsidRPr="00153388">
        <w:rPr>
          <w:rFonts w:ascii="Times New Roman" w:hAnsi="Times New Roman" w:cs="Times New Roman"/>
          <w:bCs/>
          <w:i/>
          <w:iCs/>
        </w:rPr>
        <w:t xml:space="preserve"> Az egyes döntésekben szerepelnek az eljáró tanács véleményeként olyan megjegyzések, amelyek alkalmasak lehetnének </w:t>
      </w:r>
      <w:r w:rsidR="007C1922" w:rsidRPr="00153388">
        <w:rPr>
          <w:rFonts w:ascii="Times New Roman" w:hAnsi="Times New Roman" w:cs="Times New Roman"/>
          <w:bCs/>
          <w:iCs/>
        </w:rPr>
        <w:t xml:space="preserve">akár </w:t>
      </w:r>
      <w:r w:rsidR="007C1922" w:rsidRPr="00153388">
        <w:rPr>
          <w:rFonts w:ascii="Times New Roman" w:hAnsi="Times New Roman" w:cs="Times New Roman"/>
          <w:bCs/>
          <w:i/>
          <w:iCs/>
        </w:rPr>
        <w:t xml:space="preserve">külön állásfoglalások megfogalmazására is. Egy megyei testületnél azonban azt is mindig mérlegelni kell, hogy 4-6 ügy alapján szabad-e „általánosabb” következtetéseket – a többi </w:t>
      </w:r>
      <w:r w:rsidR="00830E45" w:rsidRPr="00153388">
        <w:rPr>
          <w:rFonts w:ascii="Times New Roman" w:hAnsi="Times New Roman" w:cs="Times New Roman"/>
          <w:bCs/>
          <w:i/>
          <w:iCs/>
        </w:rPr>
        <w:t>Vállalkozás</w:t>
      </w:r>
      <w:r w:rsidR="007C1922" w:rsidRPr="00153388">
        <w:rPr>
          <w:rFonts w:ascii="Times New Roman" w:hAnsi="Times New Roman" w:cs="Times New Roman"/>
          <w:bCs/>
          <w:i/>
          <w:iCs/>
        </w:rPr>
        <w:t>ra is vonatkoztatva – levonni.</w:t>
      </w:r>
    </w:p>
    <w:p w:rsidR="007C1922" w:rsidRPr="00153388" w:rsidRDefault="007C1922" w:rsidP="007C1922">
      <w:pPr>
        <w:rPr>
          <w:rFonts w:ascii="Times New Roman" w:hAnsi="Times New Roman" w:cs="Times New Roman"/>
          <w:b/>
        </w:rPr>
      </w:pPr>
    </w:p>
    <w:p w:rsidR="007C1922" w:rsidRPr="00153388" w:rsidRDefault="007C1922" w:rsidP="007C1922">
      <w:pPr>
        <w:rPr>
          <w:rFonts w:ascii="Times New Roman" w:hAnsi="Times New Roman" w:cs="Times New Roman"/>
          <w:b/>
        </w:rPr>
      </w:pPr>
      <w:r w:rsidRPr="00153388">
        <w:rPr>
          <w:rFonts w:ascii="Times New Roman" w:hAnsi="Times New Roman" w:cs="Times New Roman"/>
          <w:b/>
        </w:rPr>
        <w:t>Az első félévről a - honla</w:t>
      </w:r>
      <w:r w:rsidR="00FF4611" w:rsidRPr="00153388">
        <w:rPr>
          <w:rFonts w:ascii="Times New Roman" w:hAnsi="Times New Roman" w:cs="Times New Roman"/>
          <w:b/>
        </w:rPr>
        <w:t xml:space="preserve">pon is nyilvánosságra hozott - </w:t>
      </w:r>
      <w:r w:rsidRPr="00153388">
        <w:rPr>
          <w:rFonts w:ascii="Times New Roman" w:hAnsi="Times New Roman" w:cs="Times New Roman"/>
          <w:b/>
        </w:rPr>
        <w:t xml:space="preserve">beszámoló tartalmazott ezzel kapcsolatosan példákat, amelyeket a széles közvélemény, illetve az érintett </w:t>
      </w:r>
      <w:r w:rsidR="00830E45" w:rsidRPr="00153388">
        <w:rPr>
          <w:rFonts w:ascii="Times New Roman" w:hAnsi="Times New Roman" w:cs="Times New Roman"/>
          <w:b/>
        </w:rPr>
        <w:t>Vállalkozás</w:t>
      </w:r>
      <w:r w:rsidRPr="00153388">
        <w:rPr>
          <w:rFonts w:ascii="Times New Roman" w:hAnsi="Times New Roman" w:cs="Times New Roman"/>
          <w:b/>
        </w:rPr>
        <w:t xml:space="preserve"> is – ismételten - megismerhetett. Az akkor közzétett példák</w:t>
      </w:r>
      <w:r w:rsidRPr="00153388">
        <w:rPr>
          <w:rFonts w:ascii="Times New Roman" w:hAnsi="Times New Roman" w:cs="Times New Roman"/>
          <w:b/>
          <w:i/>
        </w:rPr>
        <w:t xml:space="preserve"> a második félévben is előfordultak</w:t>
      </w:r>
      <w:r w:rsidR="00207A1C" w:rsidRPr="00153388">
        <w:rPr>
          <w:rFonts w:ascii="Times New Roman" w:hAnsi="Times New Roman" w:cs="Times New Roman"/>
          <w:b/>
        </w:rPr>
        <w:t>.</w:t>
      </w:r>
      <w:r w:rsidRPr="00153388">
        <w:rPr>
          <w:rFonts w:ascii="Times New Roman" w:hAnsi="Times New Roman" w:cs="Times New Roman"/>
          <w:b/>
        </w:rPr>
        <w:t xml:space="preserve"> Ezek közül </w:t>
      </w:r>
      <w:r w:rsidR="00FF4611" w:rsidRPr="00153388">
        <w:rPr>
          <w:rFonts w:ascii="Times New Roman" w:hAnsi="Times New Roman" w:cs="Times New Roman"/>
          <w:b/>
        </w:rPr>
        <w:t xml:space="preserve">most </w:t>
      </w:r>
      <w:r w:rsidRPr="00153388">
        <w:rPr>
          <w:rFonts w:ascii="Times New Roman" w:hAnsi="Times New Roman" w:cs="Times New Roman"/>
          <w:b/>
        </w:rPr>
        <w:t xml:space="preserve">az alábbiakat emeljük ki:  </w:t>
      </w:r>
    </w:p>
    <w:p w:rsidR="007C1922" w:rsidRPr="00153388" w:rsidRDefault="007C1922" w:rsidP="007C1922">
      <w:pPr>
        <w:rPr>
          <w:rFonts w:ascii="Times New Roman" w:hAnsi="Times New Roman" w:cs="Times New Roman"/>
        </w:rPr>
      </w:pPr>
    </w:p>
    <w:p w:rsidR="007C1922" w:rsidRPr="00153388" w:rsidRDefault="007C1922" w:rsidP="007C1922">
      <w:pPr>
        <w:numPr>
          <w:ilvl w:val="0"/>
          <w:numId w:val="1"/>
        </w:numPr>
        <w:rPr>
          <w:rFonts w:ascii="Times New Roman" w:hAnsi="Times New Roman" w:cs="Times New Roman"/>
        </w:rPr>
      </w:pPr>
      <w:r w:rsidRPr="00153388">
        <w:rPr>
          <w:rFonts w:ascii="Times New Roman" w:hAnsi="Times New Roman" w:cs="Times New Roman"/>
        </w:rPr>
        <w:t>„</w:t>
      </w:r>
      <w:r w:rsidRPr="00153388">
        <w:rPr>
          <w:rFonts w:ascii="Times New Roman" w:hAnsi="Times New Roman" w:cs="Times New Roman"/>
          <w:b/>
        </w:rPr>
        <w:t xml:space="preserve">A Vállalkozás </w:t>
      </w:r>
      <w:r w:rsidRPr="00153388">
        <w:rPr>
          <w:rFonts w:ascii="Times New Roman" w:hAnsi="Times New Roman" w:cs="Times New Roman"/>
          <w:b/>
          <w:i/>
        </w:rPr>
        <w:t>„nem kívánja képviselteti magát”</w:t>
      </w:r>
      <w:r w:rsidRPr="00153388">
        <w:rPr>
          <w:rFonts w:ascii="Times New Roman" w:hAnsi="Times New Roman" w:cs="Times New Roman"/>
          <w:b/>
        </w:rPr>
        <w:t xml:space="preserve"> a meghallgatáson</w:t>
      </w:r>
      <w:r w:rsidRPr="00153388">
        <w:rPr>
          <w:rFonts w:ascii="Times New Roman" w:hAnsi="Times New Roman" w:cs="Times New Roman"/>
        </w:rPr>
        <w:t xml:space="preserve">. A kijelölt taggal szemben nincs kifogásuk. A Vállalkozás nem tesz alávetési nyilatkozatot, kötelező érvényűnek a jogerős bírósági ítéletet, felettes szervei, illetve hatósági döntéseket fogadja el.” – írta néhány esetben a </w:t>
      </w:r>
      <w:r w:rsidR="00830E45" w:rsidRPr="00153388">
        <w:rPr>
          <w:rFonts w:ascii="Times New Roman" w:hAnsi="Times New Roman" w:cs="Times New Roman"/>
        </w:rPr>
        <w:t>Vállalkozás</w:t>
      </w:r>
      <w:r w:rsidRPr="00153388">
        <w:rPr>
          <w:rFonts w:ascii="Times New Roman" w:hAnsi="Times New Roman" w:cs="Times New Roman"/>
        </w:rPr>
        <w:t>.</w:t>
      </w:r>
    </w:p>
    <w:p w:rsidR="007C1922" w:rsidRPr="00153388" w:rsidRDefault="007C1922" w:rsidP="007C1922">
      <w:pPr>
        <w:rPr>
          <w:rFonts w:ascii="Times New Roman" w:hAnsi="Times New Roman" w:cs="Times New Roman"/>
        </w:rPr>
      </w:pPr>
    </w:p>
    <w:p w:rsidR="007C1922" w:rsidRPr="00153388" w:rsidRDefault="007C1922" w:rsidP="007C1922">
      <w:pPr>
        <w:rPr>
          <w:rFonts w:ascii="Times New Roman" w:hAnsi="Times New Roman" w:cs="Times New Roman"/>
        </w:rPr>
      </w:pPr>
      <w:r w:rsidRPr="00153388">
        <w:rPr>
          <w:rFonts w:ascii="Times New Roman" w:hAnsi="Times New Roman" w:cs="Times New Roman"/>
        </w:rPr>
        <w:t xml:space="preserve">Az, hogy a Vállalkozás „nem kívánja képviselteti magát” a meghallgatáson, a törvénnyel nem volt ellentétes. A Fgytv. 31. § (2) bekezdése alapján ugyanis bármelyik fél távolléte esetében – ha az iratok kézbesítése szabályszerűen történt meg – az eljárás lefolytatható, és a rendelkezésre álló adatok alapján a döntés is meghozható volt. </w:t>
      </w:r>
    </w:p>
    <w:p w:rsidR="007C1922" w:rsidRPr="00153388" w:rsidRDefault="007C1922" w:rsidP="007C1922">
      <w:pPr>
        <w:rPr>
          <w:rFonts w:ascii="Times New Roman" w:hAnsi="Times New Roman" w:cs="Times New Roman"/>
        </w:rPr>
      </w:pPr>
    </w:p>
    <w:p w:rsidR="00FF4611" w:rsidRPr="00153388" w:rsidRDefault="007C1922" w:rsidP="007C1922">
      <w:pPr>
        <w:rPr>
          <w:rFonts w:ascii="Times New Roman" w:hAnsi="Times New Roman" w:cs="Times New Roman"/>
        </w:rPr>
      </w:pPr>
      <w:r w:rsidRPr="00153388">
        <w:rPr>
          <w:rFonts w:ascii="Times New Roman" w:hAnsi="Times New Roman" w:cs="Times New Roman"/>
          <w:b/>
          <w:i/>
        </w:rPr>
        <w:t>A 2015. szeptember 11-én hatályba lépett módosítást követően részben változott a megjelenésre vonatkozó szabály</w:t>
      </w:r>
      <w:r w:rsidRPr="00153388">
        <w:rPr>
          <w:rFonts w:ascii="Times New Roman" w:hAnsi="Times New Roman" w:cs="Times New Roman"/>
        </w:rPr>
        <w:t>, azonban meg kell mondani, hogy</w:t>
      </w:r>
      <w:r w:rsidR="00FF4611" w:rsidRPr="00153388">
        <w:rPr>
          <w:rFonts w:ascii="Times New Roman" w:hAnsi="Times New Roman" w:cs="Times New Roman"/>
        </w:rPr>
        <w:t xml:space="preserve"> annak értelmezése nem egységes, illetve lehet, hogy a tájékoztatások nem pontosak - ezt észleljük a hozzánk fordulók kérdéseiből is. </w:t>
      </w:r>
      <w:r w:rsidRPr="00153388">
        <w:rPr>
          <w:rFonts w:ascii="Times New Roman" w:hAnsi="Times New Roman" w:cs="Times New Roman"/>
        </w:rPr>
        <w:t xml:space="preserve"> Az </w:t>
      </w:r>
      <w:r w:rsidRPr="00153388">
        <w:rPr>
          <w:rFonts w:ascii="Times New Roman" w:hAnsi="Times New Roman" w:cs="Times New Roman"/>
          <w:b/>
          <w:i/>
        </w:rPr>
        <w:t>„együttműködési kötelezettség”</w:t>
      </w:r>
      <w:r w:rsidRPr="00153388">
        <w:rPr>
          <w:rFonts w:ascii="Times New Roman" w:hAnsi="Times New Roman" w:cs="Times New Roman"/>
        </w:rPr>
        <w:t xml:space="preserve"> a Fgytv. 29. § (11) bekezdése szerint a válaszirat beküldésére és a részvételi kötelezettségre vonatkozott (a megjelölt kivétellel). Mi azon a véleményen vagyunk, hogy – figyelemmel arra is, hogy a Fgytv. is használja nem egy §-ában a „székhely, telephely, fióktelep” fogalmakat, a </w:t>
      </w:r>
      <w:r w:rsidRPr="00153388">
        <w:rPr>
          <w:rFonts w:ascii="Times New Roman" w:hAnsi="Times New Roman" w:cs="Times New Roman"/>
          <w:b/>
        </w:rPr>
        <w:t>megjelenésnél</w:t>
      </w:r>
      <w:r w:rsidRPr="00153388">
        <w:rPr>
          <w:rFonts w:ascii="Times New Roman" w:hAnsi="Times New Roman" w:cs="Times New Roman"/>
        </w:rPr>
        <w:t xml:space="preserve"> viszont csak a </w:t>
      </w:r>
      <w:r w:rsidRPr="00153388">
        <w:rPr>
          <w:rFonts w:ascii="Times New Roman" w:hAnsi="Times New Roman" w:cs="Times New Roman"/>
          <w:b/>
        </w:rPr>
        <w:t>„székhely, telephely” szerepel</w:t>
      </w:r>
      <w:r w:rsidRPr="00153388">
        <w:rPr>
          <w:rFonts w:ascii="Times New Roman" w:hAnsi="Times New Roman" w:cs="Times New Roman"/>
        </w:rPr>
        <w:t xml:space="preserve"> – így a fióktelep esetén nem tartjuk kötelezőnek a </w:t>
      </w:r>
      <w:r w:rsidR="00830E45" w:rsidRPr="00153388">
        <w:rPr>
          <w:rFonts w:ascii="Times New Roman" w:hAnsi="Times New Roman" w:cs="Times New Roman"/>
        </w:rPr>
        <w:t>Vállalkozás</w:t>
      </w:r>
      <w:r w:rsidRPr="00153388">
        <w:rPr>
          <w:rFonts w:ascii="Times New Roman" w:hAnsi="Times New Roman" w:cs="Times New Roman"/>
        </w:rPr>
        <w:t xml:space="preserve"> megjelenését. Úgy véljük, hogy nem a cégeljárás szabályai szerint kell(ene) értelmezni a fogalmakat, mert, ha igen, akkor azt ki lehetne mondani a törvény értelmező rendelkezései között. [Az ezzel kapcsolatos – a 2015. szeptember elején a FOHÁT-hoz elküldött </w:t>
      </w:r>
      <w:r w:rsidR="00A24CCD">
        <w:rPr>
          <w:rFonts w:ascii="Times New Roman" w:hAnsi="Times New Roman" w:cs="Times New Roman"/>
        </w:rPr>
        <w:t>– á</w:t>
      </w:r>
      <w:r w:rsidRPr="00153388">
        <w:rPr>
          <w:rFonts w:ascii="Times New Roman" w:hAnsi="Times New Roman" w:cs="Times New Roman"/>
        </w:rPr>
        <w:t>llásfoglalást kérő levelünkre</w:t>
      </w:r>
      <w:r w:rsidR="00FF4611" w:rsidRPr="00153388">
        <w:rPr>
          <w:rFonts w:ascii="Times New Roman" w:hAnsi="Times New Roman" w:cs="Times New Roman"/>
        </w:rPr>
        <w:t>, sajnos</w:t>
      </w:r>
      <w:r w:rsidRPr="00153388">
        <w:rPr>
          <w:rFonts w:ascii="Times New Roman" w:hAnsi="Times New Roman" w:cs="Times New Roman"/>
        </w:rPr>
        <w:t xml:space="preserve"> semmilyen válasz nem érkezett.] Azt reméltük, hogy a törvénymódosítás </w:t>
      </w:r>
      <w:r w:rsidR="00FF4611" w:rsidRPr="00153388">
        <w:rPr>
          <w:rFonts w:ascii="Times New Roman" w:hAnsi="Times New Roman" w:cs="Times New Roman"/>
        </w:rPr>
        <w:t>után hamarosan tisztázódik a probléma</w:t>
      </w:r>
      <w:r w:rsidRPr="00153388">
        <w:rPr>
          <w:rFonts w:ascii="Times New Roman" w:hAnsi="Times New Roman" w:cs="Times New Roman"/>
        </w:rPr>
        <w:t xml:space="preserve">. </w:t>
      </w:r>
    </w:p>
    <w:p w:rsidR="007C1922" w:rsidRPr="00153388" w:rsidRDefault="00FF4611" w:rsidP="007C1922">
      <w:pPr>
        <w:rPr>
          <w:rFonts w:ascii="Times New Roman" w:hAnsi="Times New Roman" w:cs="Times New Roman"/>
        </w:rPr>
      </w:pPr>
      <w:r w:rsidRPr="00153388">
        <w:rPr>
          <w:rFonts w:ascii="Times New Roman" w:hAnsi="Times New Roman" w:cs="Times New Roman"/>
        </w:rPr>
        <w:t>Nem könnyíti meg az értelmezést, hogy a</w:t>
      </w:r>
      <w:r w:rsidR="007C1922" w:rsidRPr="00153388">
        <w:rPr>
          <w:rFonts w:ascii="Times New Roman" w:hAnsi="Times New Roman" w:cs="Times New Roman"/>
        </w:rPr>
        <w:t xml:space="preserve"> szeptember 11 előtt hatályos szabály egy mondatban az "és" szóval kötötte össze, illetve adta meg az </w:t>
      </w:r>
      <w:r w:rsidR="007C1922" w:rsidRPr="00153388">
        <w:rPr>
          <w:rFonts w:ascii="Times New Roman" w:hAnsi="Times New Roman" w:cs="Times New Roman"/>
          <w:i/>
        </w:rPr>
        <w:t>együttműködés tartalmi elemeit</w:t>
      </w:r>
      <w:r w:rsidR="007C1922" w:rsidRPr="00153388">
        <w:rPr>
          <w:rFonts w:ascii="Times New Roman" w:hAnsi="Times New Roman" w:cs="Times New Roman"/>
        </w:rPr>
        <w:t xml:space="preserve">, a most hatályos szabály viszont két külön mondatban szól az „elemekről”. </w:t>
      </w:r>
      <w:r w:rsidR="00207A1C" w:rsidRPr="00153388">
        <w:rPr>
          <w:rFonts w:ascii="Times New Roman" w:hAnsi="Times New Roman" w:cs="Times New Roman"/>
        </w:rPr>
        <w:t xml:space="preserve">Szükségesnek tartjuk tehát egyértelműsíteni a megjelenésre kötelezettek körét, </w:t>
      </w:r>
      <w:r w:rsidRPr="00153388">
        <w:rPr>
          <w:rFonts w:ascii="Times New Roman" w:hAnsi="Times New Roman" w:cs="Times New Roman"/>
        </w:rPr>
        <w:t xml:space="preserve">mégpedig úgy, hogy </w:t>
      </w:r>
      <w:r w:rsidR="00207A1C" w:rsidRPr="00153388">
        <w:rPr>
          <w:rFonts w:ascii="Times New Roman" w:hAnsi="Times New Roman" w:cs="Times New Roman"/>
        </w:rPr>
        <w:t>vagy mondja ki felsorolásszerűen a Fgytv., hogy a fióktelepes esetben is</w:t>
      </w:r>
      <w:r w:rsidRPr="00153388">
        <w:rPr>
          <w:rFonts w:ascii="Times New Roman" w:hAnsi="Times New Roman" w:cs="Times New Roman"/>
        </w:rPr>
        <w:t xml:space="preserve"> meg kell jelenni, vagy erősítsék</w:t>
      </w:r>
      <w:r w:rsidR="00207A1C" w:rsidRPr="00153388">
        <w:rPr>
          <w:rFonts w:ascii="Times New Roman" w:hAnsi="Times New Roman" w:cs="Times New Roman"/>
        </w:rPr>
        <w:t xml:space="preserve"> meg, hogy a megjelenési kötelezettség, csak a székh</w:t>
      </w:r>
      <w:r w:rsidRPr="00153388">
        <w:rPr>
          <w:rFonts w:ascii="Times New Roman" w:hAnsi="Times New Roman" w:cs="Times New Roman"/>
        </w:rPr>
        <w:t>elyre és telephelyre vonatkozik, ahogy maga a törvény szövege ebben a §-ban szól.</w:t>
      </w:r>
    </w:p>
    <w:p w:rsidR="00FF4611" w:rsidRPr="00153388" w:rsidRDefault="00FF4611" w:rsidP="007C1922">
      <w:pPr>
        <w:rPr>
          <w:rFonts w:ascii="Times New Roman" w:hAnsi="Times New Roman" w:cs="Times New Roman"/>
        </w:rPr>
      </w:pPr>
    </w:p>
    <w:p w:rsidR="00207A1C" w:rsidRPr="00153388" w:rsidRDefault="00207A1C" w:rsidP="002645ED">
      <w:pPr>
        <w:rPr>
          <w:rFonts w:ascii="Times New Roman" w:hAnsi="Times New Roman" w:cs="Times New Roman"/>
        </w:rPr>
      </w:pPr>
      <w:r w:rsidRPr="00153388">
        <w:rPr>
          <w:rFonts w:ascii="Times New Roman" w:hAnsi="Times New Roman" w:cs="Times New Roman"/>
        </w:rPr>
        <w:t xml:space="preserve">Annak értelmezése sem ártana – mivel nem lehet minden Vállalkozásnak és Fogyasztónak külön is elmagyarázni -, hogy mit értsen </w:t>
      </w:r>
      <w:r w:rsidR="002645ED" w:rsidRPr="00153388">
        <w:rPr>
          <w:rFonts w:ascii="Times New Roman" w:hAnsi="Times New Roman" w:cs="Times New Roman"/>
        </w:rPr>
        <w:t xml:space="preserve">az </w:t>
      </w:r>
      <w:r w:rsidRPr="00153388">
        <w:rPr>
          <w:rFonts w:ascii="Times New Roman" w:hAnsi="Times New Roman" w:cs="Times New Roman"/>
        </w:rPr>
        <w:t>„egyezség létrehozatalára feljogosított személ</w:t>
      </w:r>
      <w:r w:rsidR="002645ED" w:rsidRPr="00153388">
        <w:rPr>
          <w:rFonts w:ascii="Times New Roman" w:hAnsi="Times New Roman" w:cs="Times New Roman"/>
        </w:rPr>
        <w:t xml:space="preserve">y részvételéről” – mivel ezt egyesek úgy értelmezik, hogy akkor egyezséget fognak kötni a testület előtt. </w:t>
      </w:r>
    </w:p>
    <w:p w:rsidR="00FF4611" w:rsidRPr="00153388" w:rsidRDefault="00FF4611" w:rsidP="002645ED">
      <w:pPr>
        <w:rPr>
          <w:rFonts w:ascii="Times New Roman" w:hAnsi="Times New Roman" w:cs="Times New Roman"/>
        </w:rPr>
      </w:pPr>
    </w:p>
    <w:p w:rsidR="000572FF" w:rsidRPr="00153388" w:rsidRDefault="002645ED" w:rsidP="000572FF">
      <w:pPr>
        <w:rPr>
          <w:rFonts w:ascii="Times New Roman" w:eastAsia="Times New Roman" w:hAnsi="Times New Roman" w:cs="Times New Roman"/>
        </w:rPr>
      </w:pPr>
      <w:r w:rsidRPr="00153388">
        <w:rPr>
          <w:rFonts w:ascii="Times New Roman" w:hAnsi="Times New Roman" w:cs="Times New Roman"/>
        </w:rPr>
        <w:t xml:space="preserve">Ismeretes már olyan álláspont is, ami szerint </w:t>
      </w:r>
      <w:r w:rsidRPr="00153388">
        <w:rPr>
          <w:rFonts w:ascii="Times New Roman" w:eastAsia="Times New Roman" w:hAnsi="Times New Roman" w:cs="Times New Roman"/>
          <w:lang w:eastAsia="hu-HU"/>
        </w:rPr>
        <w:t xml:space="preserve">az eljáró tanács a meghallgatásra szóló értesítés alapján a meghallgatáson a </w:t>
      </w:r>
      <w:r w:rsidR="00830E45" w:rsidRPr="00153388">
        <w:rPr>
          <w:rFonts w:ascii="Times New Roman" w:eastAsia="Times New Roman" w:hAnsi="Times New Roman" w:cs="Times New Roman"/>
          <w:lang w:eastAsia="hu-HU"/>
        </w:rPr>
        <w:t>Vállalkozás</w:t>
      </w:r>
      <w:r w:rsidRPr="00153388">
        <w:rPr>
          <w:rFonts w:ascii="Times New Roman" w:eastAsia="Times New Roman" w:hAnsi="Times New Roman" w:cs="Times New Roman"/>
          <w:lang w:eastAsia="hu-HU"/>
        </w:rPr>
        <w:t xml:space="preserve"> részéről megjelent személyt a </w:t>
      </w:r>
      <w:r w:rsidR="00830E45" w:rsidRPr="00153388">
        <w:rPr>
          <w:rFonts w:ascii="Times New Roman" w:eastAsia="Times New Roman" w:hAnsi="Times New Roman" w:cs="Times New Roman"/>
          <w:lang w:eastAsia="hu-HU"/>
        </w:rPr>
        <w:t>Vállalkozás</w:t>
      </w:r>
      <w:r w:rsidRPr="00153388">
        <w:rPr>
          <w:rFonts w:ascii="Times New Roman" w:eastAsia="Times New Roman" w:hAnsi="Times New Roman" w:cs="Times New Roman"/>
          <w:lang w:eastAsia="hu-HU"/>
        </w:rPr>
        <w:t xml:space="preserve"> képviseletére jogosultnak tekintheti, </w:t>
      </w:r>
      <w:r w:rsidRPr="00153388">
        <w:rPr>
          <w:rFonts w:ascii="Times New Roman" w:eastAsia="Times New Roman" w:hAnsi="Times New Roman" w:cs="Times New Roman"/>
          <w:b/>
          <w:i/>
          <w:lang w:eastAsia="hu-HU"/>
        </w:rPr>
        <w:t>azonban a képviselő személyének azonosításán túl írásban nyilatkoztatnia kell őt a képviseleti joga terjedelméről</w:t>
      </w:r>
      <w:r w:rsidRPr="00153388">
        <w:rPr>
          <w:rFonts w:ascii="Times New Roman" w:eastAsia="Times New Roman" w:hAnsi="Times New Roman" w:cs="Times New Roman"/>
          <w:i/>
          <w:lang w:eastAsia="hu-HU"/>
        </w:rPr>
        <w:t>.</w:t>
      </w:r>
      <w:r w:rsidRPr="00153388">
        <w:rPr>
          <w:rFonts w:ascii="Times New Roman" w:eastAsia="Times New Roman" w:hAnsi="Times New Roman" w:cs="Times New Roman"/>
          <w:lang w:eastAsia="hu-HU"/>
        </w:rPr>
        <w:t xml:space="preserve"> Ezt nem tarjuk megfelelő eljárásnak.</w:t>
      </w:r>
      <w:r w:rsidR="000572FF" w:rsidRPr="00153388">
        <w:rPr>
          <w:rFonts w:ascii="Times New Roman" w:eastAsia="Times New Roman" w:hAnsi="Times New Roman" w:cs="Times New Roman"/>
          <w:lang w:eastAsia="hu-HU"/>
        </w:rPr>
        <w:t xml:space="preserve"> Mi úgy véljük, hogy elegendő az, hogy h</w:t>
      </w:r>
      <w:r w:rsidR="000572FF" w:rsidRPr="00153388">
        <w:rPr>
          <w:rFonts w:ascii="Times New Roman" w:eastAsia="Times New Roman" w:hAnsi="Times New Roman" w:cs="Times New Roman"/>
        </w:rPr>
        <w:t xml:space="preserve">a a </w:t>
      </w:r>
      <w:r w:rsidR="000572FF" w:rsidRPr="000572FF">
        <w:rPr>
          <w:rFonts w:ascii="Times New Roman" w:eastAsia="Times New Roman" w:hAnsi="Times New Roman" w:cs="Times New Roman"/>
        </w:rPr>
        <w:t xml:space="preserve">meghallgatáson a Vállalkozás képviseletében részt vevő személynek – amennyiben nem a Vállalkozás hivatalos képviselője (pl. ügyvezető, jogtanácsos), hanem a Vállalkozás munkatársa, vagy külső személy </w:t>
      </w:r>
      <w:r w:rsidR="00A24CCD">
        <w:rPr>
          <w:rFonts w:ascii="Times New Roman" w:eastAsia="Times New Roman" w:hAnsi="Times New Roman" w:cs="Times New Roman"/>
        </w:rPr>
        <w:t>–</w:t>
      </w:r>
      <w:r w:rsidR="000572FF" w:rsidRPr="000572FF">
        <w:rPr>
          <w:rFonts w:ascii="Times New Roman" w:eastAsia="Times New Roman" w:hAnsi="Times New Roman" w:cs="Times New Roman"/>
        </w:rPr>
        <w:t>, a meghatalmazásának ki kell terjednie arra, hogy „</w:t>
      </w:r>
      <w:r w:rsidR="000572FF" w:rsidRPr="000572FF">
        <w:rPr>
          <w:rFonts w:ascii="Times New Roman" w:eastAsia="Times New Roman" w:hAnsi="Times New Roman" w:cs="Times New Roman"/>
          <w:b/>
          <w:i/>
        </w:rPr>
        <w:t>teljes körűen eljárhat</w:t>
      </w:r>
      <w:r w:rsidR="000572FF" w:rsidRPr="000572FF">
        <w:rPr>
          <w:rFonts w:ascii="Times New Roman" w:eastAsia="Times New Roman" w:hAnsi="Times New Roman" w:cs="Times New Roman"/>
        </w:rPr>
        <w:t xml:space="preserve">” a Vállalkozás ügyében. </w:t>
      </w:r>
      <w:r w:rsidR="000572FF" w:rsidRPr="000572FF">
        <w:rPr>
          <w:rFonts w:ascii="Times New Roman" w:eastAsia="Times New Roman" w:hAnsi="Times New Roman" w:cs="Times New Roman"/>
          <w:i/>
        </w:rPr>
        <w:t>Ez magában foglalja az esetlegesen megkötendő egyezséget is</w:t>
      </w:r>
      <w:r w:rsidR="000572FF" w:rsidRPr="00153388">
        <w:rPr>
          <w:rFonts w:ascii="Times New Roman" w:eastAsia="Times New Roman" w:hAnsi="Times New Roman" w:cs="Times New Roman"/>
        </w:rPr>
        <w:t xml:space="preserve">. </w:t>
      </w:r>
    </w:p>
    <w:p w:rsidR="000572FF" w:rsidRPr="00153388" w:rsidRDefault="000572FF" w:rsidP="000572FF">
      <w:pPr>
        <w:rPr>
          <w:rFonts w:ascii="Times New Roman" w:eastAsia="Times New Roman" w:hAnsi="Times New Roman" w:cs="Times New Roman"/>
        </w:rPr>
      </w:pPr>
      <w:r w:rsidRPr="00153388">
        <w:rPr>
          <w:rFonts w:ascii="Times New Roman" w:eastAsia="Times New Roman" w:hAnsi="Times New Roman" w:cs="Times New Roman"/>
        </w:rPr>
        <w:t xml:space="preserve">A Fgytv. szerint a képviselő személyes megjelenése egyúttal azt is jelenti, hogy egyezségkötésre feljogosított </w:t>
      </w:r>
    </w:p>
    <w:p w:rsidR="000572FF" w:rsidRPr="000572FF" w:rsidRDefault="000572FF" w:rsidP="000572FF">
      <w:pPr>
        <w:rPr>
          <w:rFonts w:ascii="Times New Roman" w:eastAsia="Times New Roman" w:hAnsi="Times New Roman" w:cs="Times New Roman"/>
          <w:i/>
          <w:lang w:eastAsia="hu-HU"/>
        </w:rPr>
      </w:pPr>
      <w:r w:rsidRPr="00153388">
        <w:rPr>
          <w:rFonts w:ascii="Times New Roman" w:eastAsia="Times New Roman" w:hAnsi="Times New Roman" w:cs="Times New Roman"/>
        </w:rPr>
        <w:t xml:space="preserve">[lásd Fgytv. 29. § (8), (11) bekezdését] a képviselő, illetve ha nem, akkor a meghatalmazásába azt kell beleírni, hogy </w:t>
      </w:r>
      <w:r w:rsidRPr="00153388">
        <w:rPr>
          <w:rFonts w:ascii="Times New Roman" w:eastAsia="Times New Roman" w:hAnsi="Times New Roman" w:cs="Times New Roman"/>
          <w:b/>
          <w:i/>
        </w:rPr>
        <w:t xml:space="preserve">„meghatalmazása az egyezség kötésére nem terjed ki”. </w:t>
      </w:r>
      <w:r w:rsidR="00153388" w:rsidRPr="00153388">
        <w:rPr>
          <w:rFonts w:ascii="Times New Roman" w:eastAsia="Times New Roman" w:hAnsi="Times New Roman" w:cs="Times New Roman"/>
        </w:rPr>
        <w:t xml:space="preserve">Vagyis </w:t>
      </w:r>
      <w:r w:rsidR="00153388" w:rsidRPr="00153388">
        <w:rPr>
          <w:rFonts w:ascii="Times New Roman" w:eastAsia="Times New Roman" w:hAnsi="Times New Roman" w:cs="Times New Roman"/>
          <w:i/>
        </w:rPr>
        <w:t>ne a meghatalmazott nyilatkozzon a meghatalmazás terjedelméről, hanem a meghatalmazó.</w:t>
      </w:r>
    </w:p>
    <w:p w:rsidR="000572FF" w:rsidRPr="00153388" w:rsidRDefault="000572FF" w:rsidP="002645ED">
      <w:pPr>
        <w:rPr>
          <w:rFonts w:ascii="Times New Roman" w:hAnsi="Times New Roman" w:cs="Times New Roman"/>
        </w:rPr>
      </w:pPr>
    </w:p>
    <w:p w:rsidR="002645ED" w:rsidRPr="00153388" w:rsidRDefault="002645ED" w:rsidP="007C1922">
      <w:pPr>
        <w:rPr>
          <w:rFonts w:ascii="Times New Roman" w:hAnsi="Times New Roman" w:cs="Times New Roman"/>
        </w:rPr>
      </w:pPr>
      <w:r w:rsidRPr="00153388">
        <w:rPr>
          <w:rFonts w:ascii="Times New Roman" w:hAnsi="Times New Roman" w:cs="Times New Roman"/>
        </w:rPr>
        <w:t>Természetesen továbbra is az a véleményünk, hogy a személyes megjelenés</w:t>
      </w:r>
      <w:r w:rsidR="007C1922" w:rsidRPr="00153388">
        <w:rPr>
          <w:rFonts w:ascii="Times New Roman" w:hAnsi="Times New Roman" w:cs="Times New Roman"/>
        </w:rPr>
        <w:t xml:space="preserve"> megkönnyíthetné az ügyekben az egyezség létrehozá</w:t>
      </w:r>
      <w:r w:rsidR="00153388" w:rsidRPr="00153388">
        <w:rPr>
          <w:rFonts w:ascii="Times New Roman" w:hAnsi="Times New Roman" w:cs="Times New Roman"/>
        </w:rPr>
        <w:t>sát is, és nem utolsó sorban a F</w:t>
      </w:r>
      <w:r w:rsidR="007C1922" w:rsidRPr="00153388">
        <w:rPr>
          <w:rFonts w:ascii="Times New Roman" w:hAnsi="Times New Roman" w:cs="Times New Roman"/>
        </w:rPr>
        <w:t>ogyasztókkal való személyes találkozással növelni lehetne az ügyfél elégedettségi „mutatókat” is, mert így lehetne érzékeltetni azt is, h</w:t>
      </w:r>
      <w:r w:rsidRPr="00153388">
        <w:rPr>
          <w:rFonts w:ascii="Times New Roman" w:hAnsi="Times New Roman" w:cs="Times New Roman"/>
        </w:rPr>
        <w:t>ogy a F</w:t>
      </w:r>
      <w:r w:rsidR="007C1922" w:rsidRPr="00153388">
        <w:rPr>
          <w:rFonts w:ascii="Times New Roman" w:hAnsi="Times New Roman" w:cs="Times New Roman"/>
        </w:rPr>
        <w:t>og</w:t>
      </w:r>
      <w:r w:rsidRPr="00153388">
        <w:rPr>
          <w:rFonts w:ascii="Times New Roman" w:hAnsi="Times New Roman" w:cs="Times New Roman"/>
        </w:rPr>
        <w:t xml:space="preserve">yasztó valóban fontos a szolgáltatónak. </w:t>
      </w:r>
    </w:p>
    <w:p w:rsidR="00153388" w:rsidRPr="00153388" w:rsidRDefault="00153388" w:rsidP="007C1922">
      <w:pPr>
        <w:rPr>
          <w:rFonts w:ascii="Times New Roman" w:hAnsi="Times New Roman" w:cs="Times New Roman"/>
        </w:rPr>
      </w:pPr>
    </w:p>
    <w:p w:rsidR="007C1922" w:rsidRPr="00153388" w:rsidRDefault="007C1922" w:rsidP="007C1922">
      <w:pPr>
        <w:rPr>
          <w:rFonts w:ascii="Times New Roman" w:hAnsi="Times New Roman" w:cs="Times New Roman"/>
        </w:rPr>
      </w:pPr>
      <w:r w:rsidRPr="00153388">
        <w:rPr>
          <w:rFonts w:ascii="Times New Roman" w:hAnsi="Times New Roman" w:cs="Times New Roman"/>
        </w:rPr>
        <w:t>Úgy tapasztaltuk az utolsó negyedévben történtek változások e tekintetben.</w:t>
      </w:r>
    </w:p>
    <w:p w:rsidR="00153388" w:rsidRDefault="007C1922" w:rsidP="007C1922">
      <w:pPr>
        <w:rPr>
          <w:rFonts w:ascii="Times New Roman" w:hAnsi="Times New Roman" w:cs="Times New Roman"/>
        </w:rPr>
      </w:pPr>
      <w:r w:rsidRPr="00153388">
        <w:rPr>
          <w:rFonts w:ascii="Times New Roman" w:hAnsi="Times New Roman" w:cs="Times New Roman"/>
        </w:rPr>
        <w:t>Szeptember 11 után össz</w:t>
      </w:r>
      <w:r w:rsidR="00996C0A">
        <w:rPr>
          <w:rFonts w:ascii="Times New Roman" w:hAnsi="Times New Roman" w:cs="Times New Roman"/>
        </w:rPr>
        <w:t>esen befejeztünk 93 ügyet.</w:t>
      </w:r>
      <w:r w:rsidRPr="00153388">
        <w:rPr>
          <w:rFonts w:ascii="Times New Roman" w:hAnsi="Times New Roman" w:cs="Times New Roman"/>
        </w:rPr>
        <w:t xml:space="preserve"> 15 egyezségkötésre került sor. 2015. július 1 – szeptember 11 között 6 határozatot hoztunk. Az I. félévben 13 egye</w:t>
      </w:r>
      <w:r w:rsidR="00153388">
        <w:rPr>
          <w:rFonts w:ascii="Times New Roman" w:hAnsi="Times New Roman" w:cs="Times New Roman"/>
        </w:rPr>
        <w:t>zséget hagytak jóvá a tanácsok.</w:t>
      </w:r>
    </w:p>
    <w:p w:rsidR="00153388" w:rsidRPr="00153388" w:rsidRDefault="00153388" w:rsidP="007C1922">
      <w:pPr>
        <w:rPr>
          <w:rFonts w:ascii="Times New Roman" w:hAnsi="Times New Roman" w:cs="Times New Roman"/>
        </w:rPr>
      </w:pPr>
    </w:p>
    <w:p w:rsidR="007C1922" w:rsidRPr="00153388" w:rsidRDefault="007C1922" w:rsidP="007C1922">
      <w:pPr>
        <w:rPr>
          <w:rFonts w:ascii="Times New Roman" w:hAnsi="Times New Roman" w:cs="Times New Roman"/>
        </w:rPr>
      </w:pPr>
      <w:r w:rsidRPr="00153388">
        <w:rPr>
          <w:rFonts w:ascii="Times New Roman" w:hAnsi="Times New Roman" w:cs="Times New Roman"/>
        </w:rPr>
        <w:t xml:space="preserve">A törvény módosítása utáni ügyek megoldását foglalja össze a táblázat: </w:t>
      </w:r>
    </w:p>
    <w:p w:rsidR="007C1922" w:rsidRPr="00207A1C" w:rsidRDefault="007C1922" w:rsidP="007C1922">
      <w:pPr>
        <w:rPr>
          <w:rFonts w:ascii="Times New Roman" w:hAnsi="Times New Roman" w:cs="Times New Roman"/>
        </w:rPr>
      </w:pPr>
    </w:p>
    <w:tbl>
      <w:tblPr>
        <w:tblW w:w="9229" w:type="dxa"/>
        <w:tblInd w:w="55" w:type="dxa"/>
        <w:tblLayout w:type="fixed"/>
        <w:tblCellMar>
          <w:left w:w="70" w:type="dxa"/>
          <w:right w:w="70" w:type="dxa"/>
        </w:tblCellMar>
        <w:tblLook w:val="04A0" w:firstRow="1" w:lastRow="0" w:firstColumn="1" w:lastColumn="0" w:noHBand="0" w:noVBand="1"/>
      </w:tblPr>
      <w:tblGrid>
        <w:gridCol w:w="763"/>
        <w:gridCol w:w="528"/>
        <w:gridCol w:w="709"/>
        <w:gridCol w:w="567"/>
        <w:gridCol w:w="709"/>
        <w:gridCol w:w="567"/>
        <w:gridCol w:w="567"/>
        <w:gridCol w:w="567"/>
        <w:gridCol w:w="425"/>
        <w:gridCol w:w="709"/>
        <w:gridCol w:w="708"/>
        <w:gridCol w:w="709"/>
        <w:gridCol w:w="567"/>
        <w:gridCol w:w="567"/>
        <w:gridCol w:w="567"/>
      </w:tblGrid>
      <w:tr w:rsidR="007C1922" w:rsidRPr="002645ED" w:rsidTr="007E42E0">
        <w:trPr>
          <w:trHeight w:val="439"/>
        </w:trPr>
        <w:tc>
          <w:tcPr>
            <w:tcW w:w="763" w:type="dxa"/>
            <w:vMerge w:val="restart"/>
            <w:tcBorders>
              <w:top w:val="single" w:sz="18" w:space="0" w:color="auto"/>
              <w:left w:val="single" w:sz="18" w:space="0" w:color="auto"/>
              <w:right w:val="nil"/>
            </w:tcBorders>
            <w:vAlign w:val="center"/>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idő</w:t>
            </w:r>
          </w:p>
          <w:p w:rsidR="00153388" w:rsidRPr="00153388" w:rsidRDefault="007C1922" w:rsidP="00153388">
            <w:pPr>
              <w:jc w:val="center"/>
              <w:rPr>
                <w:rFonts w:ascii="Times New Roman" w:hAnsi="Times New Roman" w:cs="Times New Roman"/>
                <w:b/>
                <w:bCs/>
                <w:sz w:val="16"/>
                <w:szCs w:val="16"/>
              </w:rPr>
            </w:pPr>
            <w:r w:rsidRPr="00153388">
              <w:rPr>
                <w:rFonts w:ascii="Times New Roman" w:hAnsi="Times New Roman" w:cs="Times New Roman"/>
                <w:b/>
                <w:bCs/>
                <w:sz w:val="16"/>
                <w:szCs w:val="16"/>
              </w:rPr>
              <w:t>2015.</w:t>
            </w:r>
            <w:r w:rsidR="00153388" w:rsidRPr="002645ED">
              <w:rPr>
                <w:rFonts w:ascii="Times New Roman" w:hAnsi="Times New Roman" w:cs="Times New Roman"/>
                <w:b/>
                <w:bCs/>
                <w:sz w:val="20"/>
                <w:szCs w:val="20"/>
              </w:rPr>
              <w:t xml:space="preserve"> </w:t>
            </w:r>
            <w:r w:rsidR="00153388" w:rsidRPr="00153388">
              <w:rPr>
                <w:rFonts w:ascii="Times New Roman" w:hAnsi="Times New Roman" w:cs="Times New Roman"/>
                <w:b/>
                <w:bCs/>
                <w:sz w:val="16"/>
                <w:szCs w:val="16"/>
              </w:rPr>
              <w:t>09.11 –</w:t>
            </w:r>
          </w:p>
          <w:p w:rsidR="007C1922" w:rsidRPr="00153388" w:rsidRDefault="00153388" w:rsidP="00153388">
            <w:pPr>
              <w:jc w:val="center"/>
              <w:rPr>
                <w:rFonts w:ascii="Times New Roman" w:hAnsi="Times New Roman" w:cs="Times New Roman"/>
                <w:b/>
                <w:bCs/>
                <w:sz w:val="16"/>
                <w:szCs w:val="16"/>
              </w:rPr>
            </w:pPr>
            <w:r w:rsidRPr="00153388">
              <w:rPr>
                <w:rFonts w:ascii="Times New Roman" w:hAnsi="Times New Roman" w:cs="Times New Roman"/>
                <w:b/>
                <w:bCs/>
                <w:sz w:val="16"/>
                <w:szCs w:val="16"/>
              </w:rPr>
              <w:t>12.31.</w:t>
            </w:r>
          </w:p>
        </w:tc>
        <w:tc>
          <w:tcPr>
            <w:tcW w:w="528" w:type="dxa"/>
            <w:vMerge w:val="restart"/>
            <w:tcBorders>
              <w:top w:val="single" w:sz="18" w:space="0" w:color="auto"/>
              <w:left w:val="single" w:sz="8" w:space="0" w:color="000000"/>
              <w:right w:val="single" w:sz="18" w:space="0" w:color="auto"/>
            </w:tcBorders>
            <w:vAlign w:val="center"/>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Ügy ös</w:t>
            </w:r>
            <w:r w:rsidR="002645ED" w:rsidRPr="00153388">
              <w:rPr>
                <w:rFonts w:ascii="Times New Roman" w:hAnsi="Times New Roman" w:cs="Times New Roman"/>
                <w:b/>
                <w:bCs/>
                <w:sz w:val="16"/>
                <w:szCs w:val="16"/>
              </w:rPr>
              <w:t>z-</w:t>
            </w:r>
            <w:r w:rsidRPr="00153388">
              <w:rPr>
                <w:rFonts w:ascii="Times New Roman" w:hAnsi="Times New Roman" w:cs="Times New Roman"/>
                <w:b/>
                <w:bCs/>
                <w:sz w:val="16"/>
                <w:szCs w:val="16"/>
              </w:rPr>
              <w:t>sze-sen</w:t>
            </w:r>
          </w:p>
          <w:p w:rsidR="007C1922" w:rsidRPr="00153388" w:rsidRDefault="007C1922" w:rsidP="007C1922">
            <w:pPr>
              <w:rPr>
                <w:rFonts w:ascii="Times New Roman" w:hAnsi="Times New Roman" w:cs="Times New Roman"/>
                <w:b/>
                <w:bCs/>
                <w:sz w:val="16"/>
                <w:szCs w:val="16"/>
              </w:rPr>
            </w:pPr>
          </w:p>
        </w:tc>
        <w:tc>
          <w:tcPr>
            <w:tcW w:w="6804" w:type="dxa"/>
            <w:gridSpan w:val="11"/>
            <w:tcBorders>
              <w:top w:val="single" w:sz="18" w:space="0" w:color="000000"/>
              <w:left w:val="single" w:sz="18" w:space="0" w:color="auto"/>
              <w:bottom w:val="single" w:sz="18" w:space="0" w:color="000000"/>
              <w:right w:val="single" w:sz="18" w:space="0" w:color="000000"/>
            </w:tcBorders>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Az ügy kimenetele</w:t>
            </w:r>
          </w:p>
        </w:tc>
        <w:tc>
          <w:tcPr>
            <w:tcW w:w="1134" w:type="dxa"/>
            <w:gridSpan w:val="2"/>
            <w:tcBorders>
              <w:top w:val="single" w:sz="18" w:space="0" w:color="000000"/>
              <w:left w:val="single" w:sz="18" w:space="0" w:color="000000"/>
              <w:bottom w:val="single" w:sz="18" w:space="0" w:color="000000"/>
              <w:right w:val="single" w:sz="18" w:space="0" w:color="000000"/>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együttmű</w:t>
            </w:r>
            <w:r w:rsidR="007E42E0" w:rsidRPr="00153388">
              <w:rPr>
                <w:rFonts w:ascii="Times New Roman" w:hAnsi="Times New Roman" w:cs="Times New Roman"/>
                <w:b/>
                <w:bCs/>
                <w:sz w:val="16"/>
                <w:szCs w:val="16"/>
              </w:rPr>
              <w:t>-</w:t>
            </w:r>
            <w:r w:rsidRPr="00153388">
              <w:rPr>
                <w:rFonts w:ascii="Times New Roman" w:hAnsi="Times New Roman" w:cs="Times New Roman"/>
                <w:b/>
                <w:bCs/>
                <w:sz w:val="16"/>
                <w:szCs w:val="16"/>
              </w:rPr>
              <w:t>ködött-e</w:t>
            </w:r>
          </w:p>
        </w:tc>
      </w:tr>
      <w:tr w:rsidR="007C1922" w:rsidRPr="002645ED" w:rsidTr="007E42E0">
        <w:trPr>
          <w:trHeight w:val="342"/>
        </w:trPr>
        <w:tc>
          <w:tcPr>
            <w:tcW w:w="763" w:type="dxa"/>
            <w:vMerge/>
            <w:tcBorders>
              <w:left w:val="single" w:sz="18" w:space="0" w:color="auto"/>
              <w:right w:val="single" w:sz="8" w:space="0" w:color="000000"/>
            </w:tcBorders>
          </w:tcPr>
          <w:p w:rsidR="007C1922" w:rsidRPr="00153388" w:rsidRDefault="007C1922" w:rsidP="007C1922">
            <w:pPr>
              <w:rPr>
                <w:rFonts w:ascii="Times New Roman" w:hAnsi="Times New Roman" w:cs="Times New Roman"/>
                <w:b/>
                <w:bCs/>
                <w:sz w:val="16"/>
                <w:szCs w:val="16"/>
              </w:rPr>
            </w:pPr>
          </w:p>
        </w:tc>
        <w:tc>
          <w:tcPr>
            <w:tcW w:w="528" w:type="dxa"/>
            <w:vMerge/>
            <w:tcBorders>
              <w:left w:val="single" w:sz="8" w:space="0" w:color="000000"/>
              <w:right w:val="single" w:sz="18" w:space="0" w:color="auto"/>
            </w:tcBorders>
          </w:tcPr>
          <w:p w:rsidR="007C1922" w:rsidRPr="00153388" w:rsidRDefault="007C1922" w:rsidP="007C1922">
            <w:pPr>
              <w:rPr>
                <w:rFonts w:ascii="Times New Roman" w:hAnsi="Times New Roman" w:cs="Times New Roman"/>
                <w:b/>
                <w:bCs/>
                <w:sz w:val="16"/>
                <w:szCs w:val="16"/>
              </w:rPr>
            </w:pPr>
          </w:p>
        </w:tc>
        <w:tc>
          <w:tcPr>
            <w:tcW w:w="709" w:type="dxa"/>
            <w:tcBorders>
              <w:top w:val="single" w:sz="18" w:space="0" w:color="000000"/>
              <w:left w:val="single" w:sz="18" w:space="0" w:color="auto"/>
              <w:bottom w:val="single" w:sz="8" w:space="0" w:color="000000"/>
              <w:right w:val="single" w:sz="8" w:space="0" w:color="000000"/>
            </w:tcBorders>
            <w:shd w:val="clear" w:color="auto" w:fill="auto"/>
            <w:noWrap/>
            <w:hideMark/>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Egy.</w:t>
            </w:r>
          </w:p>
        </w:tc>
        <w:tc>
          <w:tcPr>
            <w:tcW w:w="567" w:type="dxa"/>
            <w:tcBorders>
              <w:top w:val="single" w:sz="18" w:space="0" w:color="000000"/>
              <w:left w:val="nil"/>
              <w:bottom w:val="single" w:sz="8" w:space="0" w:color="000000"/>
              <w:right w:val="single" w:sz="8" w:space="0" w:color="000000"/>
            </w:tcBorders>
            <w:shd w:val="clear" w:color="auto" w:fill="auto"/>
            <w:noWrap/>
            <w:hideMark/>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Köt</w:t>
            </w:r>
          </w:p>
        </w:tc>
        <w:tc>
          <w:tcPr>
            <w:tcW w:w="709" w:type="dxa"/>
            <w:tcBorders>
              <w:top w:val="single" w:sz="18" w:space="0" w:color="000000"/>
              <w:left w:val="nil"/>
              <w:bottom w:val="single" w:sz="8" w:space="0" w:color="000000"/>
              <w:right w:val="single" w:sz="18" w:space="0" w:color="auto"/>
            </w:tcBorders>
            <w:shd w:val="clear" w:color="auto" w:fill="auto"/>
            <w:noWrap/>
            <w:hideMark/>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Ajá</w:t>
            </w:r>
            <w:r w:rsidR="007E42E0" w:rsidRPr="00153388">
              <w:rPr>
                <w:rFonts w:ascii="Times New Roman" w:hAnsi="Times New Roman" w:cs="Times New Roman"/>
                <w:b/>
                <w:bCs/>
                <w:sz w:val="16"/>
                <w:szCs w:val="16"/>
              </w:rPr>
              <w:t>n.</w:t>
            </w:r>
          </w:p>
        </w:tc>
        <w:tc>
          <w:tcPr>
            <w:tcW w:w="2126" w:type="dxa"/>
            <w:gridSpan w:val="4"/>
            <w:tcBorders>
              <w:top w:val="single" w:sz="18" w:space="0" w:color="000000"/>
              <w:left w:val="single" w:sz="18" w:space="0" w:color="auto"/>
              <w:bottom w:val="single" w:sz="8" w:space="0" w:color="000000"/>
              <w:right w:val="single" w:sz="8" w:space="0" w:color="auto"/>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Megszűntetés</w:t>
            </w:r>
          </w:p>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31. § (3)</w:t>
            </w:r>
          </w:p>
        </w:tc>
        <w:tc>
          <w:tcPr>
            <w:tcW w:w="709" w:type="dxa"/>
            <w:vMerge w:val="restart"/>
            <w:tcBorders>
              <w:top w:val="single" w:sz="18" w:space="0" w:color="000000"/>
              <w:left w:val="single" w:sz="8" w:space="0" w:color="auto"/>
              <w:right w:val="single" w:sz="18" w:space="0" w:color="auto"/>
            </w:tcBorders>
            <w:shd w:val="clear" w:color="auto" w:fill="auto"/>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hiány-</w:t>
            </w:r>
          </w:p>
          <w:p w:rsidR="007C1922" w:rsidRPr="00153388" w:rsidRDefault="007E42E0" w:rsidP="007C1922">
            <w:pPr>
              <w:rPr>
                <w:rFonts w:ascii="Times New Roman" w:hAnsi="Times New Roman" w:cs="Times New Roman"/>
                <w:b/>
                <w:bCs/>
                <w:sz w:val="16"/>
                <w:szCs w:val="16"/>
              </w:rPr>
            </w:pPr>
            <w:r w:rsidRPr="00153388">
              <w:rPr>
                <w:rFonts w:ascii="Times New Roman" w:hAnsi="Times New Roman" w:cs="Times New Roman"/>
                <w:b/>
                <w:bCs/>
                <w:sz w:val="16"/>
                <w:szCs w:val="16"/>
              </w:rPr>
              <w:t>pótlás</w:t>
            </w:r>
          </w:p>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nem</w:t>
            </w:r>
          </w:p>
          <w:p w:rsidR="007C1922" w:rsidRPr="00153388" w:rsidRDefault="007C1922" w:rsidP="007C1922">
            <w:pPr>
              <w:rPr>
                <w:rFonts w:ascii="Times New Roman" w:hAnsi="Times New Roman" w:cs="Times New Roman"/>
                <w:b/>
                <w:bCs/>
                <w:sz w:val="16"/>
                <w:szCs w:val="16"/>
              </w:rPr>
            </w:pPr>
          </w:p>
        </w:tc>
        <w:tc>
          <w:tcPr>
            <w:tcW w:w="708" w:type="dxa"/>
            <w:tcBorders>
              <w:top w:val="single" w:sz="18" w:space="0" w:color="000000"/>
              <w:left w:val="single" w:sz="18" w:space="0" w:color="auto"/>
              <w:bottom w:val="single" w:sz="8" w:space="0" w:color="000000"/>
              <w:right w:val="single" w:sz="18" w:space="0" w:color="auto"/>
            </w:tcBorders>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Eluta-</w:t>
            </w:r>
          </w:p>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sítás</w:t>
            </w:r>
          </w:p>
        </w:tc>
        <w:tc>
          <w:tcPr>
            <w:tcW w:w="1276" w:type="dxa"/>
            <w:gridSpan w:val="2"/>
            <w:tcBorders>
              <w:top w:val="single" w:sz="18" w:space="0" w:color="000000"/>
              <w:left w:val="single" w:sz="18" w:space="0" w:color="auto"/>
              <w:bottom w:val="single" w:sz="8" w:space="0" w:color="000000"/>
              <w:right w:val="single" w:sz="18" w:space="0" w:color="auto"/>
            </w:tcBorders>
            <w:shd w:val="clear" w:color="auto" w:fill="auto"/>
            <w:hideMark/>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Áttétel</w:t>
            </w:r>
          </w:p>
        </w:tc>
        <w:tc>
          <w:tcPr>
            <w:tcW w:w="567" w:type="dxa"/>
            <w:tcBorders>
              <w:top w:val="single" w:sz="18" w:space="0" w:color="000000"/>
              <w:left w:val="single" w:sz="18" w:space="0" w:color="auto"/>
              <w:bottom w:val="single" w:sz="8" w:space="0" w:color="000000"/>
              <w:right w:val="single" w:sz="8" w:space="0" w:color="000000"/>
            </w:tcBorders>
            <w:shd w:val="clear" w:color="auto" w:fill="auto"/>
            <w:noWrap/>
            <w:hideMark/>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Igen</w:t>
            </w:r>
          </w:p>
        </w:tc>
        <w:tc>
          <w:tcPr>
            <w:tcW w:w="567" w:type="dxa"/>
            <w:tcBorders>
              <w:top w:val="single" w:sz="18" w:space="0" w:color="000000"/>
              <w:left w:val="nil"/>
              <w:bottom w:val="single" w:sz="8" w:space="0" w:color="000000"/>
              <w:right w:val="single" w:sz="18" w:space="0" w:color="auto"/>
            </w:tcBorders>
            <w:shd w:val="clear" w:color="auto" w:fill="auto"/>
            <w:noWrap/>
            <w:hideMark/>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Nem</w:t>
            </w:r>
          </w:p>
        </w:tc>
      </w:tr>
      <w:tr w:rsidR="007C1922" w:rsidRPr="002645ED" w:rsidTr="007E42E0">
        <w:trPr>
          <w:trHeight w:val="386"/>
        </w:trPr>
        <w:tc>
          <w:tcPr>
            <w:tcW w:w="763" w:type="dxa"/>
            <w:vMerge/>
            <w:tcBorders>
              <w:left w:val="single" w:sz="18" w:space="0" w:color="auto"/>
              <w:bottom w:val="single" w:sz="4" w:space="0" w:color="auto"/>
              <w:right w:val="single" w:sz="8" w:space="0" w:color="000000"/>
            </w:tcBorders>
          </w:tcPr>
          <w:p w:rsidR="007C1922" w:rsidRPr="00153388" w:rsidRDefault="007C1922" w:rsidP="007C1922">
            <w:pPr>
              <w:rPr>
                <w:rFonts w:ascii="Times New Roman" w:hAnsi="Times New Roman" w:cs="Times New Roman"/>
                <w:b/>
                <w:bCs/>
                <w:sz w:val="16"/>
                <w:szCs w:val="16"/>
              </w:rPr>
            </w:pPr>
          </w:p>
        </w:tc>
        <w:tc>
          <w:tcPr>
            <w:tcW w:w="528" w:type="dxa"/>
            <w:vMerge/>
            <w:tcBorders>
              <w:left w:val="single" w:sz="8" w:space="0" w:color="000000"/>
              <w:bottom w:val="single" w:sz="4" w:space="0" w:color="auto"/>
              <w:right w:val="single" w:sz="18" w:space="0" w:color="auto"/>
            </w:tcBorders>
            <w:vAlign w:val="bottom"/>
          </w:tcPr>
          <w:p w:rsidR="007C1922" w:rsidRPr="00153388" w:rsidRDefault="007C1922" w:rsidP="007C1922">
            <w:pPr>
              <w:rPr>
                <w:rFonts w:ascii="Times New Roman" w:hAnsi="Times New Roman" w:cs="Times New Roman"/>
                <w:b/>
                <w:bCs/>
                <w:sz w:val="16"/>
                <w:szCs w:val="16"/>
              </w:rPr>
            </w:pPr>
          </w:p>
        </w:tc>
        <w:tc>
          <w:tcPr>
            <w:tcW w:w="709" w:type="dxa"/>
            <w:tcBorders>
              <w:top w:val="nil"/>
              <w:left w:val="single" w:sz="18" w:space="0" w:color="auto"/>
              <w:bottom w:val="single" w:sz="4" w:space="0" w:color="auto"/>
              <w:right w:val="single" w:sz="8" w:space="0" w:color="000000"/>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30. § (1)</w:t>
            </w:r>
          </w:p>
        </w:tc>
        <w:tc>
          <w:tcPr>
            <w:tcW w:w="567" w:type="dxa"/>
            <w:tcBorders>
              <w:top w:val="nil"/>
              <w:left w:val="nil"/>
              <w:bottom w:val="single" w:sz="4" w:space="0" w:color="auto"/>
              <w:right w:val="single" w:sz="8" w:space="0" w:color="000000"/>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32. §</w:t>
            </w:r>
          </w:p>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a)</w:t>
            </w:r>
          </w:p>
        </w:tc>
        <w:tc>
          <w:tcPr>
            <w:tcW w:w="709" w:type="dxa"/>
            <w:tcBorders>
              <w:top w:val="nil"/>
              <w:left w:val="nil"/>
              <w:bottom w:val="single" w:sz="4" w:space="0" w:color="auto"/>
              <w:right w:val="single" w:sz="18" w:space="0" w:color="auto"/>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32.§</w:t>
            </w:r>
          </w:p>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b)</w:t>
            </w:r>
          </w:p>
        </w:tc>
        <w:tc>
          <w:tcPr>
            <w:tcW w:w="567" w:type="dxa"/>
            <w:tcBorders>
              <w:top w:val="nil"/>
              <w:left w:val="single" w:sz="18" w:space="0" w:color="auto"/>
              <w:bottom w:val="single" w:sz="4" w:space="0" w:color="auto"/>
              <w:right w:val="single" w:sz="8" w:space="0" w:color="000000"/>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a)</w:t>
            </w:r>
          </w:p>
        </w:tc>
        <w:tc>
          <w:tcPr>
            <w:tcW w:w="567" w:type="dxa"/>
            <w:tcBorders>
              <w:top w:val="nil"/>
              <w:left w:val="nil"/>
              <w:bottom w:val="single" w:sz="4" w:space="0" w:color="auto"/>
              <w:right w:val="single" w:sz="8" w:space="0" w:color="000000"/>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b)</w:t>
            </w:r>
          </w:p>
        </w:tc>
        <w:tc>
          <w:tcPr>
            <w:tcW w:w="567" w:type="dxa"/>
            <w:tcBorders>
              <w:top w:val="nil"/>
              <w:left w:val="nil"/>
              <w:bottom w:val="single" w:sz="4" w:space="0" w:color="auto"/>
              <w:right w:val="single" w:sz="8" w:space="0" w:color="000000"/>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c)</w:t>
            </w:r>
          </w:p>
        </w:tc>
        <w:tc>
          <w:tcPr>
            <w:tcW w:w="425" w:type="dxa"/>
            <w:tcBorders>
              <w:top w:val="nil"/>
              <w:left w:val="nil"/>
              <w:bottom w:val="single" w:sz="4" w:space="0" w:color="auto"/>
              <w:right w:val="single" w:sz="8" w:space="0" w:color="auto"/>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d)</w:t>
            </w:r>
          </w:p>
        </w:tc>
        <w:tc>
          <w:tcPr>
            <w:tcW w:w="709" w:type="dxa"/>
            <w:vMerge/>
            <w:tcBorders>
              <w:left w:val="single" w:sz="8" w:space="0" w:color="auto"/>
              <w:bottom w:val="single" w:sz="4" w:space="0" w:color="auto"/>
              <w:right w:val="single" w:sz="18" w:space="0" w:color="auto"/>
            </w:tcBorders>
            <w:shd w:val="clear" w:color="auto" w:fill="auto"/>
            <w:hideMark/>
          </w:tcPr>
          <w:p w:rsidR="007C1922" w:rsidRPr="00153388" w:rsidRDefault="007C1922" w:rsidP="007E42E0">
            <w:pPr>
              <w:jc w:val="center"/>
              <w:rPr>
                <w:rFonts w:ascii="Times New Roman" w:hAnsi="Times New Roman" w:cs="Times New Roman"/>
                <w:b/>
                <w:bCs/>
                <w:sz w:val="16"/>
                <w:szCs w:val="16"/>
              </w:rPr>
            </w:pPr>
          </w:p>
        </w:tc>
        <w:tc>
          <w:tcPr>
            <w:tcW w:w="708" w:type="dxa"/>
            <w:tcBorders>
              <w:top w:val="nil"/>
              <w:left w:val="single" w:sz="18" w:space="0" w:color="auto"/>
              <w:bottom w:val="single" w:sz="4" w:space="0" w:color="auto"/>
              <w:right w:val="single" w:sz="18" w:space="0" w:color="auto"/>
            </w:tcBorders>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32/A. §</w:t>
            </w:r>
          </w:p>
        </w:tc>
        <w:tc>
          <w:tcPr>
            <w:tcW w:w="709" w:type="dxa"/>
            <w:tcBorders>
              <w:top w:val="nil"/>
              <w:left w:val="single" w:sz="18" w:space="0" w:color="auto"/>
              <w:bottom w:val="single" w:sz="4" w:space="0" w:color="auto"/>
              <w:right w:val="single" w:sz="4" w:space="0" w:color="000000"/>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hat.</w:t>
            </w:r>
          </w:p>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29.§</w:t>
            </w:r>
          </w:p>
        </w:tc>
        <w:tc>
          <w:tcPr>
            <w:tcW w:w="567" w:type="dxa"/>
            <w:tcBorders>
              <w:top w:val="nil"/>
              <w:left w:val="single" w:sz="4" w:space="0" w:color="000000"/>
              <w:bottom w:val="single" w:sz="4" w:space="0" w:color="auto"/>
              <w:right w:val="single" w:sz="18" w:space="0" w:color="auto"/>
            </w:tcBorders>
            <w:shd w:val="clear" w:color="auto" w:fill="auto"/>
            <w:hideMark/>
          </w:tcPr>
          <w:p w:rsidR="007C1922" w:rsidRPr="00153388" w:rsidRDefault="007C1922" w:rsidP="007E42E0">
            <w:pPr>
              <w:jc w:val="center"/>
              <w:rPr>
                <w:rFonts w:ascii="Times New Roman" w:hAnsi="Times New Roman" w:cs="Times New Roman"/>
                <w:b/>
                <w:bCs/>
                <w:sz w:val="16"/>
                <w:szCs w:val="16"/>
              </w:rPr>
            </w:pPr>
            <w:r w:rsidRPr="00153388">
              <w:rPr>
                <w:rFonts w:ascii="Times New Roman" w:hAnsi="Times New Roman" w:cs="Times New Roman"/>
                <w:b/>
                <w:bCs/>
                <w:sz w:val="16"/>
                <w:szCs w:val="16"/>
              </w:rPr>
              <w:t>ill.</w:t>
            </w:r>
          </w:p>
        </w:tc>
        <w:tc>
          <w:tcPr>
            <w:tcW w:w="567" w:type="dxa"/>
            <w:tcBorders>
              <w:top w:val="nil"/>
              <w:left w:val="single" w:sz="18" w:space="0" w:color="auto"/>
              <w:bottom w:val="single" w:sz="4" w:space="0" w:color="auto"/>
              <w:right w:val="single" w:sz="8" w:space="0" w:color="000000"/>
            </w:tcBorders>
            <w:shd w:val="clear" w:color="auto" w:fill="auto"/>
            <w:noWrap/>
            <w:vAlign w:val="bottom"/>
            <w:hideMark/>
          </w:tcPr>
          <w:p w:rsidR="007C1922" w:rsidRPr="00153388" w:rsidRDefault="007C1922" w:rsidP="007E42E0">
            <w:pPr>
              <w:jc w:val="center"/>
              <w:rPr>
                <w:rFonts w:ascii="Times New Roman" w:hAnsi="Times New Roman" w:cs="Times New Roman"/>
                <w:b/>
                <w:bCs/>
                <w:sz w:val="16"/>
                <w:szCs w:val="16"/>
              </w:rPr>
            </w:pPr>
          </w:p>
        </w:tc>
        <w:tc>
          <w:tcPr>
            <w:tcW w:w="567" w:type="dxa"/>
            <w:tcBorders>
              <w:top w:val="nil"/>
              <w:left w:val="nil"/>
              <w:bottom w:val="single" w:sz="4" w:space="0" w:color="auto"/>
              <w:right w:val="single" w:sz="18" w:space="0" w:color="auto"/>
            </w:tcBorders>
            <w:shd w:val="clear" w:color="auto" w:fill="auto"/>
            <w:noWrap/>
            <w:vAlign w:val="bottom"/>
            <w:hideMark/>
          </w:tcPr>
          <w:p w:rsidR="007C1922" w:rsidRPr="00153388" w:rsidRDefault="007C1922" w:rsidP="007C1922">
            <w:pPr>
              <w:rPr>
                <w:rFonts w:ascii="Times New Roman" w:hAnsi="Times New Roman" w:cs="Times New Roman"/>
                <w:b/>
                <w:bCs/>
                <w:sz w:val="16"/>
                <w:szCs w:val="16"/>
              </w:rPr>
            </w:pPr>
            <w:r w:rsidRPr="00153388">
              <w:rPr>
                <w:rFonts w:ascii="Times New Roman" w:hAnsi="Times New Roman" w:cs="Times New Roman"/>
                <w:b/>
                <w:bCs/>
                <w:sz w:val="16"/>
                <w:szCs w:val="16"/>
              </w:rPr>
              <w:t> </w:t>
            </w:r>
          </w:p>
        </w:tc>
      </w:tr>
      <w:tr w:rsidR="007C1922" w:rsidRPr="002645ED" w:rsidTr="007E42E0">
        <w:trPr>
          <w:trHeight w:val="386"/>
        </w:trPr>
        <w:tc>
          <w:tcPr>
            <w:tcW w:w="763" w:type="dxa"/>
            <w:tcBorders>
              <w:top w:val="single" w:sz="4" w:space="0" w:color="auto"/>
              <w:left w:val="single" w:sz="18" w:space="0" w:color="auto"/>
              <w:bottom w:val="single" w:sz="18" w:space="0" w:color="auto"/>
              <w:right w:val="single" w:sz="4" w:space="0" w:color="auto"/>
            </w:tcBorders>
          </w:tcPr>
          <w:p w:rsidR="007C1922" w:rsidRPr="002645ED" w:rsidRDefault="007C1922" w:rsidP="007E42E0">
            <w:pPr>
              <w:jc w:val="center"/>
              <w:rPr>
                <w:rFonts w:ascii="Times New Roman" w:hAnsi="Times New Roman" w:cs="Times New Roman"/>
                <w:b/>
                <w:bCs/>
                <w:sz w:val="20"/>
                <w:szCs w:val="20"/>
              </w:rPr>
            </w:pPr>
          </w:p>
        </w:tc>
        <w:tc>
          <w:tcPr>
            <w:tcW w:w="528" w:type="dxa"/>
            <w:tcBorders>
              <w:top w:val="single" w:sz="4" w:space="0" w:color="auto"/>
              <w:left w:val="single" w:sz="4" w:space="0" w:color="auto"/>
              <w:bottom w:val="single" w:sz="18" w:space="0" w:color="auto"/>
              <w:right w:val="single" w:sz="18" w:space="0" w:color="auto"/>
            </w:tcBorders>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93</w:t>
            </w:r>
          </w:p>
        </w:tc>
        <w:tc>
          <w:tcPr>
            <w:tcW w:w="709" w:type="dxa"/>
            <w:tcBorders>
              <w:top w:val="single" w:sz="4" w:space="0" w:color="auto"/>
              <w:left w:val="single" w:sz="18" w:space="0" w:color="auto"/>
              <w:bottom w:val="single" w:sz="18" w:space="0" w:color="auto"/>
              <w:right w:val="single" w:sz="4"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15</w:t>
            </w:r>
          </w:p>
        </w:tc>
        <w:tc>
          <w:tcPr>
            <w:tcW w:w="567" w:type="dxa"/>
            <w:tcBorders>
              <w:top w:val="single" w:sz="4" w:space="0" w:color="auto"/>
              <w:left w:val="single" w:sz="4" w:space="0" w:color="auto"/>
              <w:bottom w:val="single" w:sz="18" w:space="0" w:color="auto"/>
              <w:right w:val="single" w:sz="4"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1</w:t>
            </w:r>
          </w:p>
        </w:tc>
        <w:tc>
          <w:tcPr>
            <w:tcW w:w="709" w:type="dxa"/>
            <w:tcBorders>
              <w:top w:val="single" w:sz="4" w:space="0" w:color="auto"/>
              <w:left w:val="single" w:sz="4" w:space="0" w:color="auto"/>
              <w:bottom w:val="single" w:sz="18" w:space="0" w:color="auto"/>
              <w:right w:val="single" w:sz="18"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39</w:t>
            </w:r>
          </w:p>
        </w:tc>
        <w:tc>
          <w:tcPr>
            <w:tcW w:w="567" w:type="dxa"/>
            <w:tcBorders>
              <w:top w:val="single" w:sz="4" w:space="0" w:color="auto"/>
              <w:left w:val="single" w:sz="18" w:space="0" w:color="auto"/>
              <w:bottom w:val="single" w:sz="18" w:space="0" w:color="auto"/>
              <w:right w:val="single" w:sz="4"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3</w:t>
            </w:r>
          </w:p>
        </w:tc>
        <w:tc>
          <w:tcPr>
            <w:tcW w:w="567" w:type="dxa"/>
            <w:tcBorders>
              <w:top w:val="single" w:sz="4" w:space="0" w:color="auto"/>
              <w:left w:val="single" w:sz="4" w:space="0" w:color="auto"/>
              <w:bottom w:val="single" w:sz="18" w:space="0" w:color="auto"/>
              <w:right w:val="single" w:sz="4"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5</w:t>
            </w:r>
          </w:p>
        </w:tc>
        <w:tc>
          <w:tcPr>
            <w:tcW w:w="567" w:type="dxa"/>
            <w:tcBorders>
              <w:top w:val="single" w:sz="4" w:space="0" w:color="auto"/>
              <w:left w:val="single" w:sz="4" w:space="0" w:color="auto"/>
              <w:bottom w:val="single" w:sz="18" w:space="0" w:color="auto"/>
              <w:right w:val="single" w:sz="4"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8</w:t>
            </w:r>
          </w:p>
        </w:tc>
        <w:tc>
          <w:tcPr>
            <w:tcW w:w="425" w:type="dxa"/>
            <w:tcBorders>
              <w:top w:val="single" w:sz="4" w:space="0" w:color="auto"/>
              <w:left w:val="single" w:sz="4" w:space="0" w:color="auto"/>
              <w:bottom w:val="single" w:sz="18" w:space="0" w:color="auto"/>
              <w:right w:val="single" w:sz="4"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14</w:t>
            </w:r>
          </w:p>
        </w:tc>
        <w:tc>
          <w:tcPr>
            <w:tcW w:w="709" w:type="dxa"/>
            <w:tcBorders>
              <w:top w:val="single" w:sz="4" w:space="0" w:color="auto"/>
              <w:left w:val="single" w:sz="4" w:space="0" w:color="auto"/>
              <w:bottom w:val="single" w:sz="18" w:space="0" w:color="auto"/>
              <w:right w:val="single" w:sz="18"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4</w:t>
            </w:r>
          </w:p>
        </w:tc>
        <w:tc>
          <w:tcPr>
            <w:tcW w:w="708" w:type="dxa"/>
            <w:tcBorders>
              <w:top w:val="single" w:sz="4" w:space="0" w:color="auto"/>
              <w:left w:val="single" w:sz="18" w:space="0" w:color="auto"/>
              <w:bottom w:val="single" w:sz="18" w:space="0" w:color="auto"/>
              <w:right w:val="single" w:sz="18" w:space="0" w:color="auto"/>
            </w:tcBorders>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2</w:t>
            </w:r>
          </w:p>
        </w:tc>
        <w:tc>
          <w:tcPr>
            <w:tcW w:w="709" w:type="dxa"/>
            <w:tcBorders>
              <w:top w:val="single" w:sz="4" w:space="0" w:color="auto"/>
              <w:left w:val="single" w:sz="18" w:space="0" w:color="auto"/>
              <w:bottom w:val="single" w:sz="18" w:space="0" w:color="auto"/>
              <w:right w:val="single" w:sz="4"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0</w:t>
            </w:r>
          </w:p>
        </w:tc>
        <w:tc>
          <w:tcPr>
            <w:tcW w:w="567" w:type="dxa"/>
            <w:tcBorders>
              <w:top w:val="single" w:sz="4" w:space="0" w:color="auto"/>
              <w:left w:val="single" w:sz="4" w:space="0" w:color="auto"/>
              <w:bottom w:val="single" w:sz="18" w:space="0" w:color="auto"/>
              <w:right w:val="single" w:sz="18" w:space="0" w:color="auto"/>
            </w:tcBorders>
            <w:shd w:val="clear" w:color="auto" w:fill="auto"/>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2</w:t>
            </w:r>
          </w:p>
        </w:tc>
        <w:tc>
          <w:tcPr>
            <w:tcW w:w="567" w:type="dxa"/>
            <w:tcBorders>
              <w:top w:val="single" w:sz="4" w:space="0" w:color="auto"/>
              <w:left w:val="single" w:sz="18" w:space="0" w:color="auto"/>
              <w:bottom w:val="single" w:sz="18" w:space="0" w:color="auto"/>
              <w:right w:val="single" w:sz="4" w:space="0" w:color="auto"/>
            </w:tcBorders>
            <w:shd w:val="clear" w:color="auto" w:fill="auto"/>
            <w:noWrap/>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77</w:t>
            </w:r>
          </w:p>
        </w:tc>
        <w:tc>
          <w:tcPr>
            <w:tcW w:w="567" w:type="dxa"/>
            <w:tcBorders>
              <w:top w:val="single" w:sz="4" w:space="0" w:color="auto"/>
              <w:left w:val="single" w:sz="4" w:space="0" w:color="auto"/>
              <w:bottom w:val="single" w:sz="18" w:space="0" w:color="auto"/>
              <w:right w:val="single" w:sz="18" w:space="0" w:color="auto"/>
            </w:tcBorders>
            <w:shd w:val="clear" w:color="auto" w:fill="auto"/>
            <w:noWrap/>
          </w:tcPr>
          <w:p w:rsidR="007C1922" w:rsidRPr="002645ED" w:rsidRDefault="007C1922" w:rsidP="007E42E0">
            <w:pPr>
              <w:jc w:val="center"/>
              <w:rPr>
                <w:rFonts w:ascii="Times New Roman" w:hAnsi="Times New Roman" w:cs="Times New Roman"/>
                <w:b/>
                <w:bCs/>
                <w:sz w:val="20"/>
                <w:szCs w:val="20"/>
              </w:rPr>
            </w:pPr>
            <w:r w:rsidRPr="002645ED">
              <w:rPr>
                <w:rFonts w:ascii="Times New Roman" w:hAnsi="Times New Roman" w:cs="Times New Roman"/>
                <w:b/>
                <w:bCs/>
                <w:sz w:val="20"/>
                <w:szCs w:val="20"/>
              </w:rPr>
              <w:t>16</w:t>
            </w:r>
          </w:p>
        </w:tc>
      </w:tr>
    </w:tbl>
    <w:p w:rsidR="006418B7" w:rsidRDefault="006418B7" w:rsidP="007C1922">
      <w:pPr>
        <w:rPr>
          <w:rFonts w:ascii="Times New Roman" w:hAnsi="Times New Roman" w:cs="Times New Roman"/>
        </w:rPr>
      </w:pPr>
    </w:p>
    <w:p w:rsidR="007C1922" w:rsidRPr="00153388" w:rsidRDefault="007C1922" w:rsidP="007C1922">
      <w:pPr>
        <w:rPr>
          <w:rFonts w:ascii="Times New Roman" w:hAnsi="Times New Roman" w:cs="Times New Roman"/>
        </w:rPr>
      </w:pPr>
      <w:r w:rsidRPr="00153388">
        <w:rPr>
          <w:rFonts w:ascii="Times New Roman" w:hAnsi="Times New Roman" w:cs="Times New Roman"/>
        </w:rPr>
        <w:t xml:space="preserve">A december elején az MKIK által kért „gyorsjelentésben” is jeleztük, hogy ugyan külön nem tartjuk nyilván a más székhelyen/telephelyen működő </w:t>
      </w:r>
      <w:r w:rsidR="00830E45" w:rsidRPr="00153388">
        <w:rPr>
          <w:rFonts w:ascii="Times New Roman" w:hAnsi="Times New Roman" w:cs="Times New Roman"/>
        </w:rPr>
        <w:t>Vállalkozás</w:t>
      </w:r>
      <w:r w:rsidRPr="00153388">
        <w:rPr>
          <w:rFonts w:ascii="Times New Roman" w:hAnsi="Times New Roman" w:cs="Times New Roman"/>
        </w:rPr>
        <w:t>ok</w:t>
      </w:r>
      <w:r w:rsidRPr="00153388">
        <w:rPr>
          <w:rFonts w:ascii="Times New Roman" w:hAnsi="Times New Roman" w:cs="Times New Roman"/>
          <w:b/>
        </w:rPr>
        <w:t xml:space="preserve"> </w:t>
      </w:r>
      <w:r w:rsidRPr="00153388">
        <w:rPr>
          <w:rFonts w:ascii="Times New Roman" w:hAnsi="Times New Roman" w:cs="Times New Roman"/>
        </w:rPr>
        <w:t>megjelenését/távolmaradását, azonban az országosan közismert egyik cég, a</w:t>
      </w:r>
      <w:r w:rsidR="007E42E0" w:rsidRPr="00153388">
        <w:rPr>
          <w:rFonts w:ascii="Times New Roman" w:hAnsi="Times New Roman" w:cs="Times New Roman"/>
        </w:rPr>
        <w:t xml:space="preserve">mely </w:t>
      </w:r>
      <w:r w:rsidR="00153388" w:rsidRPr="00153388">
        <w:rPr>
          <w:rFonts w:ascii="Times New Roman" w:hAnsi="Times New Roman" w:cs="Times New Roman"/>
        </w:rPr>
        <w:t xml:space="preserve">elsősorban </w:t>
      </w:r>
      <w:r w:rsidR="007E42E0" w:rsidRPr="00153388">
        <w:rPr>
          <w:rFonts w:ascii="Times New Roman" w:hAnsi="Times New Roman" w:cs="Times New Roman"/>
        </w:rPr>
        <w:t>lábbelik értékesítésével foglalkozik</w:t>
      </w:r>
      <w:r w:rsidRPr="00153388">
        <w:rPr>
          <w:rFonts w:ascii="Times New Roman" w:hAnsi="Times New Roman" w:cs="Times New Roman"/>
        </w:rPr>
        <w:t xml:space="preserve">, a meghallgatásokon a helyi egyik üzlet vezetőjével képviseltette magát, aki a „központi” elvárásnak megfelelően nyilatkozott a meghallgatásokon. </w:t>
      </w:r>
    </w:p>
    <w:p w:rsidR="007C1922" w:rsidRPr="00153388" w:rsidRDefault="007C1922" w:rsidP="007C1922">
      <w:pPr>
        <w:rPr>
          <w:rFonts w:ascii="Times New Roman" w:hAnsi="Times New Roman" w:cs="Times New Roman"/>
        </w:rPr>
      </w:pPr>
      <w:r w:rsidRPr="00153388">
        <w:rPr>
          <w:rFonts w:ascii="Times New Roman" w:hAnsi="Times New Roman" w:cs="Times New Roman"/>
        </w:rPr>
        <w:t>Ugyancsak tény – ennek az okát sem vizsgáltuk -, hogy nem egy esetben nem kellett megtartani a meghallgatást a</w:t>
      </w:r>
      <w:r w:rsidR="007E42E0" w:rsidRPr="00153388">
        <w:rPr>
          <w:rFonts w:ascii="Times New Roman" w:hAnsi="Times New Roman" w:cs="Times New Roman"/>
        </w:rPr>
        <w:t xml:space="preserve">z említett Kft. </w:t>
      </w:r>
      <w:r w:rsidRPr="00153388">
        <w:rPr>
          <w:rFonts w:ascii="Times New Roman" w:hAnsi="Times New Roman" w:cs="Times New Roman"/>
        </w:rPr>
        <w:t xml:space="preserve">elleni panasz ügyében, mert a fogyasztói kérést – a kiértesítésünket követően - elfogadták. (Más </w:t>
      </w:r>
      <w:r w:rsidR="00830E45" w:rsidRPr="00153388">
        <w:rPr>
          <w:rFonts w:ascii="Times New Roman" w:hAnsi="Times New Roman" w:cs="Times New Roman"/>
        </w:rPr>
        <w:t>Vállalkozás</w:t>
      </w:r>
      <w:r w:rsidRPr="00153388">
        <w:rPr>
          <w:rFonts w:ascii="Times New Roman" w:hAnsi="Times New Roman" w:cs="Times New Roman"/>
        </w:rPr>
        <w:t xml:space="preserve"> esetében is volt rá példa, de ezeket külön nem regisztráljuk, gyűjtjük.)</w:t>
      </w:r>
    </w:p>
    <w:p w:rsidR="007C1922" w:rsidRPr="00153388" w:rsidRDefault="007C1922" w:rsidP="007C1922">
      <w:pPr>
        <w:rPr>
          <w:rFonts w:ascii="Times New Roman" w:hAnsi="Times New Roman" w:cs="Times New Roman"/>
        </w:rPr>
      </w:pPr>
    </w:p>
    <w:p w:rsidR="007C1922" w:rsidRPr="00153388" w:rsidRDefault="007C1922" w:rsidP="007C1922">
      <w:pPr>
        <w:rPr>
          <w:rFonts w:ascii="Times New Roman" w:hAnsi="Times New Roman" w:cs="Times New Roman"/>
        </w:rPr>
      </w:pPr>
      <w:r w:rsidRPr="00153388">
        <w:rPr>
          <w:rFonts w:ascii="Times New Roman" w:hAnsi="Times New Roman" w:cs="Times New Roman"/>
          <w:b/>
          <w:i/>
        </w:rPr>
        <w:t xml:space="preserve">Abban viszont továbbra sem tartjuk magunkat kompetensnek, hogy abban nyilatkozzunk, hogy a fogyasztóvédelmi szervek az esetlegesen részükre „átjelentett” nem együttműködő </w:t>
      </w:r>
      <w:r w:rsidR="00830E45" w:rsidRPr="00153388">
        <w:rPr>
          <w:rFonts w:ascii="Times New Roman" w:hAnsi="Times New Roman" w:cs="Times New Roman"/>
          <w:b/>
          <w:i/>
        </w:rPr>
        <w:t>Vállalkozás</w:t>
      </w:r>
      <w:r w:rsidRPr="00153388">
        <w:rPr>
          <w:rFonts w:ascii="Times New Roman" w:hAnsi="Times New Roman" w:cs="Times New Roman"/>
          <w:b/>
          <w:i/>
        </w:rPr>
        <w:t>okkal kapcsolatosan milyen eljárást folytatnak le, és milyen bírságot alkalmaztak</w:t>
      </w:r>
      <w:r w:rsidRPr="00153388">
        <w:rPr>
          <w:rFonts w:ascii="Times New Roman" w:hAnsi="Times New Roman" w:cs="Times New Roman"/>
        </w:rPr>
        <w:t>.</w:t>
      </w:r>
    </w:p>
    <w:p w:rsidR="007C1922" w:rsidRPr="00153388" w:rsidRDefault="007C1922" w:rsidP="007C1922">
      <w:pPr>
        <w:rPr>
          <w:rFonts w:ascii="Times New Roman" w:hAnsi="Times New Roman" w:cs="Times New Roman"/>
        </w:rPr>
      </w:pPr>
    </w:p>
    <w:p w:rsidR="007C1922" w:rsidRPr="00153388" w:rsidRDefault="007C1922" w:rsidP="007C1922">
      <w:pPr>
        <w:numPr>
          <w:ilvl w:val="0"/>
          <w:numId w:val="1"/>
        </w:numPr>
        <w:rPr>
          <w:rFonts w:ascii="Times New Roman" w:hAnsi="Times New Roman" w:cs="Times New Roman"/>
          <w:b/>
        </w:rPr>
      </w:pPr>
      <w:r w:rsidRPr="00153388">
        <w:rPr>
          <w:rFonts w:ascii="Times New Roman" w:hAnsi="Times New Roman" w:cs="Times New Roman"/>
          <w:b/>
        </w:rPr>
        <w:t>Több esetben is tartalmazott a meghozott döntés az alábbiakhoz hasonló megjegyzéseket:</w:t>
      </w:r>
    </w:p>
    <w:p w:rsidR="007C1922" w:rsidRPr="00153388" w:rsidRDefault="007C1922" w:rsidP="007C1922">
      <w:pPr>
        <w:rPr>
          <w:rFonts w:ascii="Times New Roman" w:hAnsi="Times New Roman" w:cs="Times New Roman"/>
          <w:i/>
        </w:rPr>
      </w:pPr>
      <w:r w:rsidRPr="00153388">
        <w:rPr>
          <w:rFonts w:ascii="Times New Roman" w:hAnsi="Times New Roman" w:cs="Times New Roman"/>
          <w:i/>
        </w:rPr>
        <w:t xml:space="preserve">„Megjegyzi a tanács, hogy célszerű lenne – a jogszabályi lehetőségek figyelembe vétele mellett -, hogy a közszolgáltatási számlán, pl. a számlarészletezőben a </w:t>
      </w:r>
      <w:r w:rsidRPr="00153388">
        <w:rPr>
          <w:rFonts w:ascii="Times New Roman" w:hAnsi="Times New Roman" w:cs="Times New Roman"/>
          <w:b/>
          <w:i/>
        </w:rPr>
        <w:t xml:space="preserve">nyilvántartás szerinti folyószámla egyenlege a számla kibocsátásakor </w:t>
      </w:r>
      <w:r w:rsidRPr="00153388">
        <w:rPr>
          <w:rFonts w:ascii="Times New Roman" w:hAnsi="Times New Roman" w:cs="Times New Roman"/>
          <w:i/>
        </w:rPr>
        <w:t xml:space="preserve">rovatban szereplő forint összegek </w:t>
      </w:r>
      <w:r w:rsidRPr="00153388">
        <w:rPr>
          <w:rFonts w:ascii="Times New Roman" w:hAnsi="Times New Roman" w:cs="Times New Roman"/>
          <w:b/>
          <w:i/>
        </w:rPr>
        <w:t>kiemelten szerepelnének</w:t>
      </w:r>
      <w:r w:rsidRPr="00153388">
        <w:rPr>
          <w:rFonts w:ascii="Times New Roman" w:hAnsi="Times New Roman" w:cs="Times New Roman"/>
          <w:i/>
        </w:rPr>
        <w:t>, esetlegesen azzal a külön közléssel is, hogy azok „lejárt határidejű” tartozásra vonatkoznak – mert a fogyasztók egy része, nem is figyel fel erre a közlésre, és nem tudatosul benne, hogy az egyenleg – adott esetben – tartozást takar. Ez ebben az ügyben is úgy vetődött fel, hogy a Fogyasztó szerint, a tartozást „nem közölték” vele (lásd pl. a 2014. április 15-i számlarészletezőt, ahol az egyenleg 147.927 forintot mutatott ki). A „számlamagyarázatban” sem lenne haszontalan erre nyomatékosabban felhívni a figyelmet!”</w:t>
      </w:r>
    </w:p>
    <w:p w:rsidR="007C1922" w:rsidRPr="00153388" w:rsidRDefault="007C1922" w:rsidP="007C1922">
      <w:pPr>
        <w:rPr>
          <w:rFonts w:ascii="Times New Roman" w:hAnsi="Times New Roman" w:cs="Times New Roman"/>
        </w:rPr>
      </w:pPr>
    </w:p>
    <w:p w:rsidR="007C1922" w:rsidRPr="00153388" w:rsidRDefault="007C1922" w:rsidP="007C1922">
      <w:pPr>
        <w:rPr>
          <w:rFonts w:ascii="Times New Roman" w:hAnsi="Times New Roman" w:cs="Times New Roman"/>
        </w:rPr>
      </w:pPr>
      <w:r w:rsidRPr="00153388">
        <w:rPr>
          <w:rFonts w:ascii="Times New Roman" w:hAnsi="Times New Roman" w:cs="Times New Roman"/>
        </w:rPr>
        <w:t xml:space="preserve">Ez a probléma nyilván összefügg a számlaképre vonatkozó központi </w:t>
      </w:r>
      <w:r w:rsidR="007E42E0" w:rsidRPr="00153388">
        <w:rPr>
          <w:rFonts w:ascii="Times New Roman" w:hAnsi="Times New Roman" w:cs="Times New Roman"/>
          <w:b/>
          <w:i/>
        </w:rPr>
        <w:t xml:space="preserve">jogi </w:t>
      </w:r>
      <w:r w:rsidRPr="00153388">
        <w:rPr>
          <w:rFonts w:ascii="Times New Roman" w:hAnsi="Times New Roman" w:cs="Times New Roman"/>
          <w:b/>
          <w:i/>
        </w:rPr>
        <w:t>szabályozással</w:t>
      </w:r>
      <w:r w:rsidRPr="00153388">
        <w:rPr>
          <w:rFonts w:ascii="Times New Roman" w:hAnsi="Times New Roman" w:cs="Times New Roman"/>
        </w:rPr>
        <w:t xml:space="preserve"> is, de célszerűnek tartanánk továbbra is, hogy a számlakép „javításával” is segíteni kellene – főleg az idősebb korosztály – egyértelmű tájékoztatását.</w:t>
      </w:r>
    </w:p>
    <w:p w:rsidR="007C1922" w:rsidRPr="00153388" w:rsidRDefault="007C1922" w:rsidP="007C1922">
      <w:pPr>
        <w:rPr>
          <w:rFonts w:ascii="Times New Roman" w:hAnsi="Times New Roman" w:cs="Times New Roman"/>
        </w:rPr>
      </w:pPr>
    </w:p>
    <w:p w:rsidR="007C1922" w:rsidRPr="00153388" w:rsidRDefault="007C1922" w:rsidP="007C1922">
      <w:pPr>
        <w:numPr>
          <w:ilvl w:val="0"/>
          <w:numId w:val="1"/>
        </w:numPr>
        <w:rPr>
          <w:rFonts w:ascii="Times New Roman" w:hAnsi="Times New Roman" w:cs="Times New Roman"/>
          <w:bCs/>
        </w:rPr>
      </w:pPr>
      <w:r w:rsidRPr="00153388">
        <w:rPr>
          <w:rFonts w:ascii="Times New Roman" w:hAnsi="Times New Roman" w:cs="Times New Roman"/>
          <w:b/>
          <w:bCs/>
        </w:rPr>
        <w:t>A technikai eszközök hibás teljesítésével – elsősorban a mobil és okos telefonok, televíziók, háztartási gépek – kapcsolatosan is jeleztek a tanácsok problémákat:</w:t>
      </w:r>
    </w:p>
    <w:p w:rsidR="007C1922" w:rsidRPr="00153388" w:rsidRDefault="007C1922" w:rsidP="007C1922">
      <w:pPr>
        <w:rPr>
          <w:rFonts w:ascii="Times New Roman" w:hAnsi="Times New Roman" w:cs="Times New Roman"/>
          <w:b/>
          <w:bCs/>
        </w:rPr>
      </w:pPr>
    </w:p>
    <w:p w:rsidR="007C1922" w:rsidRPr="00153388" w:rsidRDefault="007C1922" w:rsidP="007C1922">
      <w:pPr>
        <w:rPr>
          <w:rFonts w:ascii="Times New Roman" w:hAnsi="Times New Roman" w:cs="Times New Roman"/>
          <w:bCs/>
        </w:rPr>
      </w:pPr>
      <w:r w:rsidRPr="00153388">
        <w:rPr>
          <w:rFonts w:ascii="Times New Roman" w:hAnsi="Times New Roman" w:cs="Times New Roman"/>
          <w:b/>
          <w:bCs/>
        </w:rPr>
        <w:t>„</w:t>
      </w:r>
      <w:r w:rsidRPr="00153388">
        <w:rPr>
          <w:rFonts w:ascii="Times New Roman" w:hAnsi="Times New Roman" w:cs="Times New Roman"/>
          <w:b/>
          <w:bCs/>
          <w:i/>
        </w:rPr>
        <w:t xml:space="preserve">Több hasonló ügyben már kifejtették az eljáró tanácsok, hogy nem ismerik azt a – feltételezett – megállapodást, </w:t>
      </w:r>
      <w:r w:rsidRPr="00153388">
        <w:rPr>
          <w:rFonts w:ascii="Times New Roman" w:hAnsi="Times New Roman" w:cs="Times New Roman"/>
          <w:bCs/>
          <w:i/>
        </w:rPr>
        <w:t xml:space="preserve">amely a Vállalkozás és a szerviz (vagy a gyártó) között jö(hete)tt létre, amelynek alapján „a Szolgáltatónak sem áll módjában felülbírálni a márkaszerviz szakvéleményét.” </w:t>
      </w:r>
    </w:p>
    <w:p w:rsidR="007C1922" w:rsidRPr="00153388" w:rsidRDefault="007C1922" w:rsidP="007C1922">
      <w:pPr>
        <w:rPr>
          <w:rFonts w:ascii="Times New Roman" w:hAnsi="Times New Roman" w:cs="Times New Roman"/>
          <w:b/>
          <w:bCs/>
        </w:rPr>
      </w:pPr>
    </w:p>
    <w:p w:rsidR="007C1922" w:rsidRPr="00153388" w:rsidRDefault="007C1922" w:rsidP="007C1922">
      <w:pPr>
        <w:rPr>
          <w:rFonts w:ascii="Times New Roman" w:hAnsi="Times New Roman" w:cs="Times New Roman"/>
        </w:rPr>
      </w:pPr>
      <w:r w:rsidRPr="00153388">
        <w:rPr>
          <w:rFonts w:ascii="Times New Roman" w:hAnsi="Times New Roman" w:cs="Times New Roman"/>
          <w:b/>
          <w:bCs/>
        </w:rPr>
        <w:t>„</w:t>
      </w:r>
      <w:r w:rsidRPr="00153388">
        <w:rPr>
          <w:rFonts w:ascii="Times New Roman" w:hAnsi="Times New Roman" w:cs="Times New Roman"/>
          <w:b/>
          <w:bCs/>
          <w:i/>
        </w:rPr>
        <w:t xml:space="preserve">Nem vitatja a tanács, </w:t>
      </w:r>
      <w:r w:rsidRPr="00153388">
        <w:rPr>
          <w:rFonts w:ascii="Times New Roman" w:hAnsi="Times New Roman" w:cs="Times New Roman"/>
          <w:bCs/>
          <w:i/>
        </w:rPr>
        <w:t>hogy a szervizek rendelkeznek azzal a szaktudással, azokkal az eszközökkel, amelynek alapján megállapítható a hiba oka</w:t>
      </w:r>
      <w:r w:rsidRPr="00153388">
        <w:rPr>
          <w:rFonts w:ascii="Times New Roman" w:hAnsi="Times New Roman" w:cs="Times New Roman"/>
          <w:b/>
          <w:bCs/>
          <w:i/>
        </w:rPr>
        <w:t xml:space="preserve">, azonban jelen eljárásban sem az történt, hogy a hiba okát tárták volna fel – hanem </w:t>
      </w:r>
      <w:r w:rsidRPr="00153388">
        <w:rPr>
          <w:rFonts w:ascii="Times New Roman" w:hAnsi="Times New Roman" w:cs="Times New Roman"/>
          <w:bCs/>
          <w:i/>
        </w:rPr>
        <w:t>egy, csak a fólia eltávolítását követően felismerhető,</w:t>
      </w:r>
      <w:r w:rsidRPr="00153388">
        <w:rPr>
          <w:rFonts w:ascii="Times New Roman" w:hAnsi="Times New Roman" w:cs="Times New Roman"/>
          <w:b/>
          <w:bCs/>
          <w:i/>
        </w:rPr>
        <w:t xml:space="preserve"> </w:t>
      </w:r>
      <w:r w:rsidRPr="00153388">
        <w:rPr>
          <w:rFonts w:ascii="Times New Roman" w:hAnsi="Times New Roman" w:cs="Times New Roman"/>
          <w:bCs/>
          <w:i/>
        </w:rPr>
        <w:t>látható sérelmi okra hivatkozva – feltehetően</w:t>
      </w:r>
      <w:r w:rsidRPr="00153388">
        <w:rPr>
          <w:rFonts w:ascii="Times New Roman" w:hAnsi="Times New Roman" w:cs="Times New Roman"/>
          <w:b/>
          <w:bCs/>
          <w:i/>
        </w:rPr>
        <w:t xml:space="preserve"> – sort sem kerítettek a hiba tényleges okának vizsgálatára. </w:t>
      </w:r>
      <w:r w:rsidRPr="00153388">
        <w:rPr>
          <w:rFonts w:ascii="Times New Roman" w:hAnsi="Times New Roman" w:cs="Times New Roman"/>
          <w:i/>
        </w:rPr>
        <w:t>Vagyis, anélkül utasította el a szerviz véleményére alapozva a Vállalkozás a Fogyasztói jótállási igény teljesítését - egy - nem is közismert - gyártói feltételre történő hivatkozással, hogy a készülék átvételekor is észlelt hibáinak okait, (pl. anyaghiba-e, konstrukciós hiba-e)  - feltehetőleg - nem is vizsgálta.”</w:t>
      </w:r>
    </w:p>
    <w:p w:rsidR="007C1922" w:rsidRPr="00153388" w:rsidRDefault="007C1922" w:rsidP="007C1922">
      <w:pPr>
        <w:rPr>
          <w:rFonts w:ascii="Times New Roman" w:hAnsi="Times New Roman" w:cs="Times New Roman"/>
        </w:rPr>
      </w:pPr>
    </w:p>
    <w:p w:rsidR="007C1922" w:rsidRPr="00153388" w:rsidRDefault="007C1922" w:rsidP="007C1922">
      <w:pPr>
        <w:rPr>
          <w:rFonts w:ascii="Times New Roman" w:hAnsi="Times New Roman" w:cs="Times New Roman"/>
          <w:bCs/>
          <w:i/>
        </w:rPr>
      </w:pPr>
      <w:r w:rsidRPr="00153388">
        <w:rPr>
          <w:rFonts w:ascii="Times New Roman" w:hAnsi="Times New Roman" w:cs="Times New Roman"/>
          <w:bCs/>
          <w:i/>
        </w:rPr>
        <w:t xml:space="preserve">„Az eljáró tanács álláspontja szerint, különösen akkor, ha a gyártó saját szakszervize, vagy vele tartós szerződéses jogviszonyban álló </w:t>
      </w:r>
      <w:r w:rsidR="00830E45" w:rsidRPr="00153388">
        <w:rPr>
          <w:rFonts w:ascii="Times New Roman" w:hAnsi="Times New Roman" w:cs="Times New Roman"/>
          <w:bCs/>
          <w:i/>
        </w:rPr>
        <w:t>Vállalkozás</w:t>
      </w:r>
      <w:r w:rsidRPr="00153388">
        <w:rPr>
          <w:rFonts w:ascii="Times New Roman" w:hAnsi="Times New Roman" w:cs="Times New Roman"/>
          <w:bCs/>
          <w:i/>
        </w:rPr>
        <w:t xml:space="preserve"> – és nem egy, a gyártótól teljesen független szerviz, vagy szakértő – állapítja meg, hogy valamelyik fogyasztási cikke elvesztette a garanciára való jogot, igen alaposan meg kell neki azt indokolnia, hogy az elfogultság vádja ne érhesse.</w:t>
      </w:r>
    </w:p>
    <w:p w:rsidR="007C1922" w:rsidRPr="00153388" w:rsidRDefault="007C1922" w:rsidP="007C1922">
      <w:pPr>
        <w:rPr>
          <w:rFonts w:ascii="Times New Roman" w:hAnsi="Times New Roman" w:cs="Times New Roman"/>
          <w:bCs/>
        </w:rPr>
      </w:pPr>
      <w:r w:rsidRPr="00153388">
        <w:rPr>
          <w:rFonts w:ascii="Times New Roman" w:hAnsi="Times New Roman" w:cs="Times New Roman"/>
          <w:bCs/>
          <w:i/>
        </w:rPr>
        <w:t>Arra is utal a tanács, hogy a „hiba” megállapítása már a Fogyasztó részéről is megtörtént, hiszen a repedés miatt kérte a garanciális eljárást, a kiadott szerviz dokumentáció sem mond ennél többet a hibáról</w:t>
      </w:r>
      <w:r w:rsidRPr="00153388">
        <w:rPr>
          <w:rFonts w:ascii="Times New Roman" w:hAnsi="Times New Roman" w:cs="Times New Roman"/>
          <w:bCs/>
        </w:rPr>
        <w:t>.”</w:t>
      </w:r>
    </w:p>
    <w:p w:rsidR="00153388" w:rsidRPr="00153388" w:rsidRDefault="00153388">
      <w:pPr>
        <w:rPr>
          <w:rFonts w:ascii="Times New Roman" w:hAnsi="Times New Roman" w:cs="Times New Roman"/>
          <w:bCs/>
        </w:rPr>
      </w:pPr>
    </w:p>
    <w:p w:rsidR="007C1922" w:rsidRPr="00153388" w:rsidRDefault="007C1922">
      <w:pPr>
        <w:rPr>
          <w:rFonts w:ascii="Times New Roman" w:hAnsi="Times New Roman" w:cs="Times New Roman"/>
        </w:rPr>
      </w:pPr>
      <w:r w:rsidRPr="00153388">
        <w:rPr>
          <w:rFonts w:ascii="Times New Roman" w:hAnsi="Times New Roman" w:cs="Times New Roman"/>
          <w:bCs/>
        </w:rPr>
        <w:t xml:space="preserve">Annyiban elmozdulás </w:t>
      </w:r>
      <w:r w:rsidR="00153388" w:rsidRPr="00153388">
        <w:rPr>
          <w:rFonts w:ascii="Times New Roman" w:hAnsi="Times New Roman" w:cs="Times New Roman"/>
          <w:bCs/>
        </w:rPr>
        <w:t xml:space="preserve">volt </w:t>
      </w:r>
      <w:r w:rsidRPr="00153388">
        <w:rPr>
          <w:rFonts w:ascii="Times New Roman" w:hAnsi="Times New Roman" w:cs="Times New Roman"/>
          <w:bCs/>
        </w:rPr>
        <w:t xml:space="preserve">észlelhető </w:t>
      </w:r>
      <w:r w:rsidR="00153388" w:rsidRPr="00153388">
        <w:rPr>
          <w:rFonts w:ascii="Times New Roman" w:hAnsi="Times New Roman" w:cs="Times New Roman"/>
          <w:bCs/>
        </w:rPr>
        <w:t xml:space="preserve">a második félévben </w:t>
      </w:r>
      <w:r w:rsidRPr="00153388">
        <w:rPr>
          <w:rFonts w:ascii="Times New Roman" w:hAnsi="Times New Roman" w:cs="Times New Roman"/>
          <w:bCs/>
        </w:rPr>
        <w:t xml:space="preserve">egyes Vállalkozások esetében, hogy most már a válasziratukban – </w:t>
      </w:r>
      <w:r w:rsidRPr="00153388">
        <w:rPr>
          <w:rFonts w:ascii="Times New Roman" w:hAnsi="Times New Roman" w:cs="Times New Roman"/>
        </w:rPr>
        <w:t>a Fogyasztó igényének megfelelően - egyezségkötési ajánlatukban felajánlják, hogy független szerviz állapítsa meg, hogy hibás teljesítésről, vagy valamilyen közrehatásból adódó hiba miatt kell-e a készüléket reparálni, cserélni, vagy a vételárat visszafizetni, vagy nem hibás teljesítésről van szó.</w:t>
      </w:r>
      <w:r w:rsidR="007E42E0" w:rsidRPr="00153388">
        <w:rPr>
          <w:rFonts w:ascii="Times New Roman" w:hAnsi="Times New Roman" w:cs="Times New Roman"/>
        </w:rPr>
        <w:t xml:space="preserve"> Kérdésként persze felvetődik, hogy ehhez miért kell egyezségi ajánlatot tenniük, miért nem lehet azonnal ilyen, a gyártótól független szervizhez küldeni a terméket.</w:t>
      </w:r>
    </w:p>
    <w:p w:rsidR="007C1922" w:rsidRPr="00153388" w:rsidRDefault="007C1922">
      <w:pPr>
        <w:rPr>
          <w:rFonts w:ascii="Times New Roman" w:hAnsi="Times New Roman" w:cs="Times New Roman"/>
        </w:rPr>
      </w:pPr>
    </w:p>
    <w:p w:rsidR="007E42E0" w:rsidRPr="00153388" w:rsidRDefault="004039D4">
      <w:pPr>
        <w:rPr>
          <w:rFonts w:ascii="Times New Roman" w:hAnsi="Times New Roman" w:cs="Times New Roman"/>
          <w:i/>
          <w:u w:val="single"/>
        </w:rPr>
      </w:pPr>
      <w:r w:rsidRPr="00153388">
        <w:rPr>
          <w:rFonts w:ascii="Times New Roman" w:eastAsia="Times New Roman" w:hAnsi="Times New Roman" w:cs="Times New Roman"/>
          <w:b/>
          <w:bCs/>
          <w:i/>
          <w:iCs/>
          <w:u w:val="single"/>
          <w:lang w:eastAsia="hu-HU"/>
        </w:rPr>
        <w:t>2.2.</w:t>
      </w:r>
      <w:r w:rsidRPr="00153388">
        <w:rPr>
          <w:rFonts w:ascii="Times New Roman" w:eastAsia="Times New Roman" w:hAnsi="Times New Roman" w:cs="Times New Roman"/>
          <w:bCs/>
          <w:i/>
          <w:iCs/>
          <w:u w:val="single"/>
          <w:lang w:eastAsia="hu-HU"/>
        </w:rPr>
        <w:t xml:space="preserve"> Az ügyek tárgya szerint, hogyan alakult az alapos és alaptalan kérelmek aránya, az eljárások milyen eredményre vezettek, (megszűnés, egyezség, ajánlás, kötelezés aránya) a jogviták megelőzése, ill. eredményesebb befejezése érdekében mit célszerű kommunikálni a fogyasztók, illetve a </w:t>
      </w:r>
      <w:r w:rsidR="00830E45" w:rsidRPr="00153388">
        <w:rPr>
          <w:rFonts w:ascii="Times New Roman" w:eastAsia="Times New Roman" w:hAnsi="Times New Roman" w:cs="Times New Roman"/>
          <w:bCs/>
          <w:i/>
          <w:iCs/>
          <w:u w:val="single"/>
          <w:lang w:eastAsia="hu-HU"/>
        </w:rPr>
        <w:t>Vállalkozás</w:t>
      </w:r>
      <w:r w:rsidRPr="00153388">
        <w:rPr>
          <w:rFonts w:ascii="Times New Roman" w:eastAsia="Times New Roman" w:hAnsi="Times New Roman" w:cs="Times New Roman"/>
          <w:bCs/>
          <w:i/>
          <w:iCs/>
          <w:u w:val="single"/>
          <w:lang w:eastAsia="hu-HU"/>
        </w:rPr>
        <w:t>ok felé.</w:t>
      </w:r>
    </w:p>
    <w:p w:rsidR="007E42E0" w:rsidRPr="00153388" w:rsidRDefault="007E42E0">
      <w:pPr>
        <w:rPr>
          <w:rFonts w:ascii="Times New Roman" w:hAnsi="Times New Roman" w:cs="Times New Roman"/>
        </w:rPr>
      </w:pPr>
    </w:p>
    <w:p w:rsidR="005429CB" w:rsidRPr="00153388" w:rsidRDefault="005429CB">
      <w:pPr>
        <w:rPr>
          <w:rFonts w:ascii="Times New Roman" w:hAnsi="Times New Roman" w:cs="Times New Roman"/>
        </w:rPr>
      </w:pPr>
      <w:r w:rsidRPr="00153388">
        <w:rPr>
          <w:rFonts w:ascii="Times New Roman" w:hAnsi="Times New Roman" w:cs="Times New Roman"/>
        </w:rPr>
        <w:t>A számok alapján azt lehet mondani, hogy az eljáró tanácsok közel az ügyek 52 illetve 54 %-ában a Fogyasztó által kérteket „ítélte meg” (részben vagy egészben), mivel az egyezség jóváhagyása, a kötelezést tartalmazó határozat és az ajánlás egyértelműen ebbe a kategóriába sorolható (A – B – C oszlopok). A Fogyasztó a kérelmét nyilvánvalóan valamilyen pozitív behatásra vonja vissza, illetve a testületen kívül is történnek megegyezések (D és E oszlopok).</w:t>
      </w:r>
    </w:p>
    <w:p w:rsidR="005429CB" w:rsidRPr="00153388" w:rsidRDefault="005429CB">
      <w:pPr>
        <w:rPr>
          <w:rFonts w:ascii="Times New Roman" w:hAnsi="Times New Roman" w:cs="Times New Roman"/>
        </w:rPr>
      </w:pPr>
      <w:r w:rsidRPr="00153388">
        <w:rPr>
          <w:rFonts w:ascii="Times New Roman" w:hAnsi="Times New Roman" w:cs="Times New Roman"/>
        </w:rPr>
        <w:t>E</w:t>
      </w:r>
      <w:r w:rsidR="00F56929" w:rsidRPr="00153388">
        <w:rPr>
          <w:rFonts w:ascii="Times New Roman" w:hAnsi="Times New Roman" w:cs="Times New Roman"/>
        </w:rPr>
        <w:t>zek összességében 61,2 illetve 6</w:t>
      </w:r>
      <w:r w:rsidRPr="00153388">
        <w:rPr>
          <w:rFonts w:ascii="Times New Roman" w:hAnsi="Times New Roman" w:cs="Times New Roman"/>
        </w:rPr>
        <w:t>3,2</w:t>
      </w:r>
      <w:r w:rsidR="00F56929" w:rsidRPr="00153388">
        <w:rPr>
          <w:rFonts w:ascii="Times New Roman" w:hAnsi="Times New Roman" w:cs="Times New Roman"/>
        </w:rPr>
        <w:t xml:space="preserve"> %-ot adnak ki, vagyis ezekre lehet egyértelműen azt mondani, hogy „alaposak” voltak a Fogyasztói kezdeményezések.</w:t>
      </w:r>
    </w:p>
    <w:p w:rsidR="00F56929" w:rsidRDefault="00F56929" w:rsidP="00F56929">
      <w:pPr>
        <w:pStyle w:val="NormlWeb"/>
        <w:spacing w:before="119" w:beforeAutospacing="0" w:after="0"/>
        <w:jc w:val="both"/>
        <w:rPr>
          <w:bCs/>
          <w:iCs/>
        </w:rPr>
      </w:pPr>
      <w:r w:rsidRPr="00153388">
        <w:t xml:space="preserve">Azt megmondani, hogy az „F” oszlopban szereplő és 16,4 %-ot illetve 16,9 %-ot kitevő </w:t>
      </w:r>
      <w:r w:rsidRPr="00153388">
        <w:rPr>
          <w:b/>
          <w:i/>
        </w:rPr>
        <w:t>Fgytv. 31. § (3) bekezdés c) pontja alapján történő megszüntetésekben</w:t>
      </w:r>
      <w:r w:rsidRPr="00153388">
        <w:t xml:space="preserve"> milyen arányú lehet az </w:t>
      </w:r>
      <w:r w:rsidRPr="00771CA1">
        <w:rPr>
          <w:i/>
        </w:rPr>
        <w:t xml:space="preserve">alapos-alaptalan </w:t>
      </w:r>
      <w:r w:rsidR="00771CA1" w:rsidRPr="00771CA1">
        <w:rPr>
          <w:i/>
        </w:rPr>
        <w:t>összetétel</w:t>
      </w:r>
      <w:r w:rsidR="00771CA1">
        <w:t>, nem lehet</w:t>
      </w:r>
      <w:r w:rsidRPr="00153388">
        <w:t xml:space="preserve">. Az bizonyos, hogy mivel ha </w:t>
      </w:r>
      <w:r w:rsidRPr="00153388">
        <w:rPr>
          <w:bCs/>
          <w:iCs/>
        </w:rPr>
        <w:t xml:space="preserve">a jogvita eldöntéséhez szükséges bizonyíték nem áll rendelkezésre, és mivel a békéltető testületi eljárásban tanúkihallgatásnak és szakértő kirendelésének nincs helye - így nem tudja a tanács megítélni, hogy „alapos-e” a Fogyasztói igény vagy sem. </w:t>
      </w:r>
    </w:p>
    <w:p w:rsidR="00771CA1" w:rsidRPr="00C83AE4" w:rsidRDefault="00C83AE4" w:rsidP="00C83AE4">
      <w:pPr>
        <w:pStyle w:val="NormlWeb"/>
        <w:spacing w:before="119" w:beforeAutospacing="0" w:after="0"/>
        <w:jc w:val="both"/>
        <w:rPr>
          <w:bCs/>
          <w:iCs/>
        </w:rPr>
      </w:pPr>
      <w:r>
        <w:rPr>
          <w:bCs/>
          <w:iCs/>
        </w:rPr>
        <w:t>[</w:t>
      </w:r>
      <w:r w:rsidR="00771CA1">
        <w:rPr>
          <w:bCs/>
          <w:iCs/>
        </w:rPr>
        <w:t>Itt tesszük meg azt a javaslatunkat is – immár nem először -, hogy a 31. § (3) bekezdése d) pontjába tartozó ügyek esetében a statisztikai összefoglaló ne azt tartalmazza, hogy a megszüntetés oka: a kérelem megalapozatlansága, mert ezt csak „</w:t>
      </w:r>
      <w:r>
        <w:rPr>
          <w:bCs/>
          <w:iCs/>
        </w:rPr>
        <w:t>ide</w:t>
      </w:r>
      <w:r w:rsidR="00771CA1">
        <w:rPr>
          <w:bCs/>
          <w:iCs/>
        </w:rPr>
        <w:t>értve” kell</w:t>
      </w:r>
      <w:r>
        <w:rPr>
          <w:bCs/>
          <w:iCs/>
        </w:rPr>
        <w:t>(ene)</w:t>
      </w:r>
      <w:r w:rsidR="00771CA1">
        <w:rPr>
          <w:bCs/>
          <w:iCs/>
        </w:rPr>
        <w:t xml:space="preserve"> használni. Igaz, sokkal jobb lenne, ha arra lenne valamilyen „lista”, hogy melyek a „bármely okok”</w:t>
      </w:r>
      <w:r>
        <w:rPr>
          <w:bCs/>
          <w:iCs/>
        </w:rPr>
        <w:t>, amelyek miatt nincs szükség a folytatásra.]</w:t>
      </w:r>
    </w:p>
    <w:p w:rsidR="006418B7" w:rsidRDefault="006418B7">
      <w:pPr>
        <w:rPr>
          <w:rFonts w:ascii="Times New Roman" w:hAnsi="Times New Roman" w:cs="Times New Roman"/>
        </w:rPr>
        <w:sectPr w:rsidR="006418B7" w:rsidSect="00153388">
          <w:footerReference w:type="default" r:id="rId8"/>
          <w:pgSz w:w="11906" w:h="16838"/>
          <w:pgMar w:top="1417" w:right="1417" w:bottom="1417" w:left="1417" w:header="454" w:footer="454" w:gutter="0"/>
          <w:cols w:space="708"/>
          <w:titlePg/>
          <w:docGrid w:linePitch="360"/>
        </w:sectPr>
      </w:pPr>
    </w:p>
    <w:p w:rsidR="00C83AE4" w:rsidRPr="00153388" w:rsidRDefault="00A816CD" w:rsidP="00996C0A">
      <w:pPr>
        <w:autoSpaceDE w:val="0"/>
        <w:autoSpaceDN w:val="0"/>
        <w:adjustRightInd w:val="0"/>
        <w:jc w:val="center"/>
        <w:rPr>
          <w:rFonts w:ascii="Times New Roman" w:hAnsi="Times New Roman" w:cs="Times New Roman"/>
          <w:b/>
        </w:rPr>
      </w:pPr>
      <w:r w:rsidRPr="00153388">
        <w:rPr>
          <w:rFonts w:ascii="Times New Roman" w:hAnsi="Times New Roman" w:cs="Times New Roman"/>
          <w:b/>
        </w:rPr>
        <w:t>A döntések teljes táblázata, ügyszám és százalékos megosztásban:</w:t>
      </w:r>
    </w:p>
    <w:p w:rsidR="00992E16" w:rsidRDefault="00992E16" w:rsidP="00992E16">
      <w:pPr>
        <w:autoSpaceDE w:val="0"/>
        <w:autoSpaceDN w:val="0"/>
        <w:adjustRightInd w:val="0"/>
        <w:rPr>
          <w:rFonts w:ascii="Times New Roman" w:hAnsi="Times New Roman" w:cs="Times New Roman"/>
          <w:b/>
        </w:rPr>
      </w:pPr>
    </w:p>
    <w:tbl>
      <w:tblPr>
        <w:tblW w:w="8095" w:type="dxa"/>
        <w:tblInd w:w="475" w:type="dxa"/>
        <w:tblLayout w:type="fixed"/>
        <w:tblCellMar>
          <w:left w:w="70" w:type="dxa"/>
          <w:right w:w="70" w:type="dxa"/>
        </w:tblCellMar>
        <w:tblLook w:val="04A0" w:firstRow="1" w:lastRow="0" w:firstColumn="1" w:lastColumn="0" w:noHBand="0" w:noVBand="1"/>
      </w:tblPr>
      <w:tblGrid>
        <w:gridCol w:w="763"/>
        <w:gridCol w:w="528"/>
        <w:gridCol w:w="709"/>
        <w:gridCol w:w="709"/>
        <w:gridCol w:w="567"/>
        <w:gridCol w:w="141"/>
        <w:gridCol w:w="426"/>
        <w:gridCol w:w="567"/>
        <w:gridCol w:w="567"/>
        <w:gridCol w:w="567"/>
        <w:gridCol w:w="567"/>
        <w:gridCol w:w="708"/>
        <w:gridCol w:w="638"/>
        <w:gridCol w:w="71"/>
        <w:gridCol w:w="567"/>
      </w:tblGrid>
      <w:tr w:rsidR="000A1E77" w:rsidRPr="00F35EB6" w:rsidTr="006418B7">
        <w:trPr>
          <w:trHeight w:val="271"/>
        </w:trPr>
        <w:tc>
          <w:tcPr>
            <w:tcW w:w="763" w:type="dxa"/>
            <w:vMerge w:val="restart"/>
            <w:tcBorders>
              <w:top w:val="single" w:sz="18" w:space="0" w:color="auto"/>
              <w:left w:val="single" w:sz="18" w:space="0" w:color="auto"/>
              <w:bottom w:val="single" w:sz="18" w:space="0" w:color="000000"/>
              <w:right w:val="nil"/>
            </w:tcBorders>
            <w:vAlign w:val="center"/>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idő</w:t>
            </w:r>
          </w:p>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2015.</w:t>
            </w:r>
          </w:p>
        </w:tc>
        <w:tc>
          <w:tcPr>
            <w:tcW w:w="528" w:type="dxa"/>
            <w:vMerge w:val="restart"/>
            <w:tcBorders>
              <w:top w:val="single" w:sz="18" w:space="0" w:color="auto"/>
              <w:left w:val="single" w:sz="8" w:space="0" w:color="000000"/>
              <w:bottom w:val="single" w:sz="18" w:space="0" w:color="000000"/>
              <w:right w:val="single" w:sz="18" w:space="0" w:color="auto"/>
            </w:tcBorders>
            <w:vAlign w:val="center"/>
          </w:tcPr>
          <w:p w:rsidR="000A1E77" w:rsidRDefault="000A1E77" w:rsidP="006418B7">
            <w:pPr>
              <w:jc w:val="center"/>
              <w:rPr>
                <w:rFonts w:ascii="Times New Roman" w:eastAsia="Times New Roman" w:hAnsi="Times New Roman" w:cs="Times New Roman"/>
                <w:b/>
                <w:bCs/>
                <w:color w:val="000000"/>
                <w:sz w:val="16"/>
                <w:szCs w:val="16"/>
                <w:lang w:eastAsia="hu-HU"/>
              </w:rPr>
            </w:pPr>
            <w:r w:rsidRPr="00F35EB6">
              <w:rPr>
                <w:rFonts w:ascii="Times New Roman" w:eastAsia="Times New Roman" w:hAnsi="Times New Roman" w:cs="Times New Roman"/>
                <w:b/>
                <w:bCs/>
                <w:color w:val="000000"/>
                <w:sz w:val="16"/>
                <w:szCs w:val="16"/>
                <w:lang w:eastAsia="hu-HU"/>
              </w:rPr>
              <w:t>Ügy</w:t>
            </w:r>
            <w:r>
              <w:rPr>
                <w:rFonts w:ascii="Times New Roman" w:eastAsia="Times New Roman" w:hAnsi="Times New Roman" w:cs="Times New Roman"/>
                <w:b/>
                <w:bCs/>
                <w:color w:val="000000"/>
                <w:sz w:val="16"/>
                <w:szCs w:val="16"/>
                <w:lang w:eastAsia="hu-HU"/>
              </w:rPr>
              <w:t>-</w:t>
            </w:r>
            <w:r w:rsidRPr="00F35EB6">
              <w:rPr>
                <w:rFonts w:ascii="Times New Roman" w:eastAsia="Times New Roman" w:hAnsi="Times New Roman" w:cs="Times New Roman"/>
                <w:b/>
                <w:bCs/>
                <w:color w:val="000000"/>
                <w:sz w:val="16"/>
                <w:szCs w:val="16"/>
                <w:lang w:eastAsia="hu-HU"/>
              </w:rPr>
              <w:t>szám össze</w:t>
            </w:r>
            <w:r>
              <w:rPr>
                <w:rFonts w:ascii="Times New Roman" w:eastAsia="Times New Roman" w:hAnsi="Times New Roman" w:cs="Times New Roman"/>
                <w:b/>
                <w:bCs/>
                <w:color w:val="000000"/>
                <w:sz w:val="16"/>
                <w:szCs w:val="16"/>
                <w:lang w:eastAsia="hu-HU"/>
              </w:rPr>
              <w:t>-</w:t>
            </w:r>
            <w:r w:rsidRPr="00F35EB6">
              <w:rPr>
                <w:rFonts w:ascii="Times New Roman" w:eastAsia="Times New Roman" w:hAnsi="Times New Roman" w:cs="Times New Roman"/>
                <w:b/>
                <w:bCs/>
                <w:color w:val="000000"/>
                <w:sz w:val="16"/>
                <w:szCs w:val="16"/>
                <w:lang w:eastAsia="hu-HU"/>
              </w:rPr>
              <w:t>sen</w:t>
            </w:r>
          </w:p>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w:t>
            </w:r>
          </w:p>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w:t>
            </w:r>
          </w:p>
          <w:p w:rsidR="000A1E77" w:rsidRPr="00F35EB6" w:rsidRDefault="000A1E77" w:rsidP="006418B7">
            <w:pPr>
              <w:jc w:val="center"/>
              <w:rPr>
                <w:rFonts w:ascii="Times New Roman" w:eastAsia="Times New Roman" w:hAnsi="Times New Roman" w:cs="Times New Roman"/>
                <w:b/>
                <w:bCs/>
                <w:color w:val="000000"/>
                <w:sz w:val="16"/>
                <w:szCs w:val="16"/>
                <w:lang w:eastAsia="hu-HU"/>
              </w:rPr>
            </w:pPr>
          </w:p>
        </w:tc>
        <w:tc>
          <w:tcPr>
            <w:tcW w:w="6804" w:type="dxa"/>
            <w:gridSpan w:val="13"/>
            <w:tcBorders>
              <w:top w:val="single" w:sz="18" w:space="0" w:color="000000"/>
              <w:left w:val="single" w:sz="18" w:space="0" w:color="auto"/>
              <w:bottom w:val="single" w:sz="18" w:space="0" w:color="000000"/>
              <w:right w:val="single" w:sz="18" w:space="0" w:color="000000"/>
            </w:tcBorders>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Az ügy kimenetele</w:t>
            </w:r>
          </w:p>
        </w:tc>
      </w:tr>
      <w:tr w:rsidR="000A1E77" w:rsidRPr="00F35EB6" w:rsidTr="006418B7">
        <w:trPr>
          <w:trHeight w:val="222"/>
        </w:trPr>
        <w:tc>
          <w:tcPr>
            <w:tcW w:w="763" w:type="dxa"/>
            <w:vMerge/>
            <w:tcBorders>
              <w:top w:val="single" w:sz="8" w:space="0" w:color="000000"/>
              <w:left w:val="single" w:sz="18" w:space="0" w:color="auto"/>
              <w:bottom w:val="single" w:sz="18" w:space="0" w:color="000000"/>
              <w:right w:val="single" w:sz="8" w:space="0" w:color="000000"/>
            </w:tcBorders>
          </w:tcPr>
          <w:p w:rsidR="000A1E77" w:rsidRDefault="000A1E77" w:rsidP="006418B7">
            <w:pPr>
              <w:jc w:val="center"/>
              <w:rPr>
                <w:rFonts w:ascii="Times New Roman" w:eastAsia="Times New Roman" w:hAnsi="Times New Roman" w:cs="Times New Roman"/>
                <w:b/>
                <w:bCs/>
                <w:color w:val="000000"/>
                <w:sz w:val="16"/>
                <w:szCs w:val="16"/>
                <w:lang w:eastAsia="hu-HU"/>
              </w:rPr>
            </w:pPr>
          </w:p>
        </w:tc>
        <w:tc>
          <w:tcPr>
            <w:tcW w:w="528" w:type="dxa"/>
            <w:vMerge/>
            <w:tcBorders>
              <w:top w:val="single" w:sz="8" w:space="0" w:color="000000"/>
              <w:left w:val="single" w:sz="8" w:space="0" w:color="000000"/>
              <w:bottom w:val="single" w:sz="18" w:space="0" w:color="000000"/>
              <w:right w:val="single" w:sz="18" w:space="0" w:color="auto"/>
            </w:tcBorders>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p>
        </w:tc>
        <w:tc>
          <w:tcPr>
            <w:tcW w:w="709" w:type="dxa"/>
            <w:tcBorders>
              <w:top w:val="single" w:sz="18" w:space="0" w:color="000000"/>
              <w:left w:val="single" w:sz="18" w:space="0" w:color="auto"/>
              <w:bottom w:val="single" w:sz="18" w:space="0" w:color="000000"/>
              <w:right w:val="single" w:sz="8" w:space="0" w:color="000000"/>
            </w:tcBorders>
            <w:shd w:val="clear" w:color="auto" w:fill="auto"/>
            <w:noWrap/>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A</w:t>
            </w:r>
          </w:p>
        </w:tc>
        <w:tc>
          <w:tcPr>
            <w:tcW w:w="709" w:type="dxa"/>
            <w:tcBorders>
              <w:top w:val="single" w:sz="18" w:space="0" w:color="000000"/>
              <w:left w:val="nil"/>
              <w:bottom w:val="single" w:sz="18" w:space="0" w:color="000000"/>
              <w:right w:val="single" w:sz="8" w:space="0" w:color="000000"/>
            </w:tcBorders>
            <w:shd w:val="clear" w:color="auto" w:fill="auto"/>
            <w:noWrap/>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B</w:t>
            </w:r>
          </w:p>
        </w:tc>
        <w:tc>
          <w:tcPr>
            <w:tcW w:w="708" w:type="dxa"/>
            <w:gridSpan w:val="2"/>
            <w:tcBorders>
              <w:top w:val="single" w:sz="18" w:space="0" w:color="000000"/>
              <w:left w:val="nil"/>
              <w:bottom w:val="single" w:sz="18" w:space="0" w:color="000000"/>
              <w:right w:val="single" w:sz="18" w:space="0" w:color="auto"/>
            </w:tcBorders>
            <w:shd w:val="clear" w:color="auto" w:fill="auto"/>
            <w:noWrap/>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C</w:t>
            </w:r>
          </w:p>
        </w:tc>
        <w:tc>
          <w:tcPr>
            <w:tcW w:w="426" w:type="dxa"/>
            <w:tcBorders>
              <w:top w:val="single" w:sz="18" w:space="0" w:color="000000"/>
              <w:left w:val="single" w:sz="18" w:space="0" w:color="auto"/>
              <w:bottom w:val="single" w:sz="18" w:space="0" w:color="000000"/>
              <w:right w:val="single" w:sz="8" w:space="0" w:color="auto"/>
            </w:tcBorders>
            <w:shd w:val="clear" w:color="auto" w:fill="auto"/>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D</w:t>
            </w:r>
          </w:p>
        </w:tc>
        <w:tc>
          <w:tcPr>
            <w:tcW w:w="567" w:type="dxa"/>
            <w:tcBorders>
              <w:top w:val="single" w:sz="18" w:space="0" w:color="000000"/>
              <w:left w:val="single" w:sz="18" w:space="0" w:color="auto"/>
              <w:bottom w:val="single" w:sz="18" w:space="0" w:color="000000"/>
              <w:right w:val="single" w:sz="8" w:space="0" w:color="auto"/>
            </w:tcBorders>
            <w:shd w:val="clear" w:color="auto" w:fill="auto"/>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E</w:t>
            </w:r>
          </w:p>
        </w:tc>
        <w:tc>
          <w:tcPr>
            <w:tcW w:w="567" w:type="dxa"/>
            <w:tcBorders>
              <w:top w:val="single" w:sz="18" w:space="0" w:color="000000"/>
              <w:left w:val="single" w:sz="18" w:space="0" w:color="auto"/>
              <w:bottom w:val="single" w:sz="18" w:space="0" w:color="000000"/>
              <w:right w:val="single" w:sz="8" w:space="0" w:color="auto"/>
            </w:tcBorders>
            <w:shd w:val="clear" w:color="auto" w:fill="auto"/>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F</w:t>
            </w:r>
          </w:p>
        </w:tc>
        <w:tc>
          <w:tcPr>
            <w:tcW w:w="567" w:type="dxa"/>
            <w:tcBorders>
              <w:top w:val="single" w:sz="18" w:space="0" w:color="000000"/>
              <w:left w:val="single" w:sz="18" w:space="0" w:color="auto"/>
              <w:bottom w:val="single" w:sz="18" w:space="0" w:color="000000"/>
              <w:right w:val="single" w:sz="8" w:space="0" w:color="auto"/>
            </w:tcBorders>
            <w:shd w:val="clear" w:color="auto" w:fill="auto"/>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G</w:t>
            </w:r>
          </w:p>
        </w:tc>
        <w:tc>
          <w:tcPr>
            <w:tcW w:w="567" w:type="dxa"/>
            <w:tcBorders>
              <w:top w:val="single" w:sz="18" w:space="0" w:color="000000"/>
              <w:left w:val="single" w:sz="8" w:space="0" w:color="auto"/>
              <w:bottom w:val="single" w:sz="18" w:space="0" w:color="000000"/>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H</w:t>
            </w:r>
          </w:p>
        </w:tc>
        <w:tc>
          <w:tcPr>
            <w:tcW w:w="708" w:type="dxa"/>
            <w:tcBorders>
              <w:top w:val="single" w:sz="18" w:space="0" w:color="000000"/>
              <w:left w:val="single" w:sz="18" w:space="0" w:color="auto"/>
              <w:bottom w:val="single" w:sz="18" w:space="0" w:color="000000"/>
              <w:right w:val="single" w:sz="18" w:space="0" w:color="auto"/>
            </w:tcBorders>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I</w:t>
            </w:r>
          </w:p>
        </w:tc>
        <w:tc>
          <w:tcPr>
            <w:tcW w:w="638" w:type="dxa"/>
            <w:tcBorders>
              <w:top w:val="single" w:sz="18" w:space="0" w:color="000000"/>
              <w:left w:val="single" w:sz="18" w:space="0" w:color="auto"/>
              <w:bottom w:val="single" w:sz="18" w:space="0" w:color="000000"/>
              <w:right w:val="single" w:sz="18" w:space="0" w:color="auto"/>
            </w:tcBorders>
            <w:shd w:val="clear" w:color="auto" w:fill="auto"/>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J</w:t>
            </w:r>
          </w:p>
        </w:tc>
        <w:tc>
          <w:tcPr>
            <w:tcW w:w="638" w:type="dxa"/>
            <w:gridSpan w:val="2"/>
            <w:tcBorders>
              <w:top w:val="single" w:sz="18" w:space="0" w:color="000000"/>
              <w:left w:val="single" w:sz="18" w:space="0" w:color="auto"/>
              <w:bottom w:val="single" w:sz="18" w:space="0" w:color="000000"/>
              <w:right w:val="single" w:sz="18" w:space="0" w:color="auto"/>
            </w:tcBorders>
            <w:shd w:val="clear" w:color="auto" w:fill="auto"/>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K</w:t>
            </w:r>
          </w:p>
        </w:tc>
      </w:tr>
      <w:tr w:rsidR="000A1E77" w:rsidRPr="00F35EB6" w:rsidTr="006418B7">
        <w:trPr>
          <w:trHeight w:val="342"/>
        </w:trPr>
        <w:tc>
          <w:tcPr>
            <w:tcW w:w="763" w:type="dxa"/>
            <w:vMerge/>
            <w:tcBorders>
              <w:top w:val="single" w:sz="8" w:space="0" w:color="000000"/>
              <w:left w:val="single" w:sz="18" w:space="0" w:color="auto"/>
              <w:bottom w:val="single" w:sz="18" w:space="0" w:color="000000"/>
              <w:right w:val="single" w:sz="8" w:space="0" w:color="000000"/>
            </w:tcBorders>
          </w:tcPr>
          <w:p w:rsidR="000A1E77" w:rsidRDefault="000A1E77" w:rsidP="006418B7">
            <w:pPr>
              <w:jc w:val="center"/>
              <w:rPr>
                <w:rFonts w:ascii="Times New Roman" w:eastAsia="Times New Roman" w:hAnsi="Times New Roman" w:cs="Times New Roman"/>
                <w:b/>
                <w:bCs/>
                <w:color w:val="000000"/>
                <w:sz w:val="16"/>
                <w:szCs w:val="16"/>
                <w:lang w:eastAsia="hu-HU"/>
              </w:rPr>
            </w:pPr>
          </w:p>
        </w:tc>
        <w:tc>
          <w:tcPr>
            <w:tcW w:w="528" w:type="dxa"/>
            <w:vMerge/>
            <w:tcBorders>
              <w:top w:val="single" w:sz="8" w:space="0" w:color="000000"/>
              <w:left w:val="single" w:sz="8" w:space="0" w:color="000000"/>
              <w:bottom w:val="single" w:sz="18" w:space="0" w:color="000000"/>
              <w:right w:val="single" w:sz="18" w:space="0" w:color="auto"/>
            </w:tcBorders>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p>
        </w:tc>
        <w:tc>
          <w:tcPr>
            <w:tcW w:w="709" w:type="dxa"/>
            <w:tcBorders>
              <w:top w:val="single" w:sz="18" w:space="0" w:color="000000"/>
              <w:left w:val="single" w:sz="18" w:space="0" w:color="auto"/>
              <w:bottom w:val="single" w:sz="8" w:space="0" w:color="000000"/>
              <w:right w:val="single" w:sz="8" w:space="0" w:color="000000"/>
            </w:tcBorders>
            <w:shd w:val="clear" w:color="auto" w:fill="auto"/>
            <w:noWrap/>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Egy.</w:t>
            </w:r>
          </w:p>
        </w:tc>
        <w:tc>
          <w:tcPr>
            <w:tcW w:w="709" w:type="dxa"/>
            <w:tcBorders>
              <w:top w:val="single" w:sz="18" w:space="0" w:color="000000"/>
              <w:left w:val="nil"/>
              <w:bottom w:val="single" w:sz="8" w:space="0" w:color="000000"/>
              <w:right w:val="single" w:sz="8" w:space="0" w:color="000000"/>
            </w:tcBorders>
            <w:shd w:val="clear" w:color="auto" w:fill="auto"/>
            <w:noWrap/>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Köt.</w:t>
            </w:r>
          </w:p>
        </w:tc>
        <w:tc>
          <w:tcPr>
            <w:tcW w:w="708" w:type="dxa"/>
            <w:gridSpan w:val="2"/>
            <w:tcBorders>
              <w:top w:val="single" w:sz="18" w:space="0" w:color="000000"/>
              <w:left w:val="nil"/>
              <w:bottom w:val="single" w:sz="8" w:space="0" w:color="000000"/>
              <w:right w:val="single" w:sz="18" w:space="0" w:color="auto"/>
            </w:tcBorders>
            <w:shd w:val="clear" w:color="auto" w:fill="auto"/>
            <w:noWrap/>
            <w:hideMark/>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Aján-</w:t>
            </w:r>
          </w:p>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lás</w:t>
            </w:r>
          </w:p>
        </w:tc>
        <w:tc>
          <w:tcPr>
            <w:tcW w:w="2127" w:type="dxa"/>
            <w:gridSpan w:val="4"/>
            <w:tcBorders>
              <w:top w:val="single" w:sz="18" w:space="0" w:color="000000"/>
              <w:left w:val="single" w:sz="18" w:space="0" w:color="auto"/>
              <w:bottom w:val="single" w:sz="8" w:space="0" w:color="000000"/>
              <w:right w:val="single" w:sz="8" w:space="0" w:color="auto"/>
            </w:tcBorders>
            <w:shd w:val="clear" w:color="auto" w:fill="auto"/>
            <w:hideMark/>
          </w:tcPr>
          <w:p w:rsidR="000A1E77" w:rsidRDefault="000A1E77" w:rsidP="006418B7">
            <w:pPr>
              <w:jc w:val="center"/>
              <w:rPr>
                <w:rFonts w:ascii="Times New Roman" w:eastAsia="Times New Roman" w:hAnsi="Times New Roman" w:cs="Times New Roman"/>
                <w:b/>
                <w:bCs/>
                <w:color w:val="000000"/>
                <w:sz w:val="16"/>
                <w:szCs w:val="16"/>
                <w:lang w:eastAsia="hu-HU"/>
              </w:rPr>
            </w:pPr>
            <w:r w:rsidRPr="00F35EB6">
              <w:rPr>
                <w:rFonts w:ascii="Times New Roman" w:eastAsia="Times New Roman" w:hAnsi="Times New Roman" w:cs="Times New Roman"/>
                <w:b/>
                <w:bCs/>
                <w:color w:val="000000"/>
                <w:sz w:val="16"/>
                <w:szCs w:val="16"/>
                <w:lang w:eastAsia="hu-HU"/>
              </w:rPr>
              <w:t>Megszűntetés</w:t>
            </w:r>
          </w:p>
          <w:p w:rsidR="000A1E77" w:rsidRDefault="000A1E77" w:rsidP="006418B7">
            <w:pPr>
              <w:ind w:right="72"/>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31. § (3)</w:t>
            </w:r>
          </w:p>
        </w:tc>
        <w:tc>
          <w:tcPr>
            <w:tcW w:w="567" w:type="dxa"/>
            <w:vMerge w:val="restart"/>
            <w:tcBorders>
              <w:top w:val="single" w:sz="18" w:space="0" w:color="000000"/>
              <w:left w:val="single" w:sz="8"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hiány</w:t>
            </w:r>
          </w:p>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pótlás</w:t>
            </w:r>
          </w:p>
          <w:p w:rsidR="000A1E77" w:rsidRPr="00F35EB6" w:rsidRDefault="000A1E77" w:rsidP="006418B7">
            <w:pPr>
              <w:jc w:val="center"/>
              <w:rPr>
                <w:rFonts w:ascii="Times New Roman" w:eastAsia="Times New Roman" w:hAnsi="Times New Roman" w:cs="Times New Roman"/>
                <w:b/>
                <w:bCs/>
                <w:color w:val="000000"/>
                <w:sz w:val="16"/>
                <w:szCs w:val="16"/>
                <w:lang w:eastAsia="hu-HU"/>
              </w:rPr>
            </w:pPr>
          </w:p>
        </w:tc>
        <w:tc>
          <w:tcPr>
            <w:tcW w:w="708" w:type="dxa"/>
            <w:tcBorders>
              <w:top w:val="single" w:sz="18" w:space="0" w:color="000000"/>
              <w:left w:val="single" w:sz="18" w:space="0" w:color="auto"/>
              <w:bottom w:val="single" w:sz="8" w:space="0" w:color="000000"/>
              <w:right w:val="single" w:sz="18" w:space="0" w:color="auto"/>
            </w:tcBorders>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Eluta-</w:t>
            </w:r>
          </w:p>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sítás</w:t>
            </w:r>
          </w:p>
        </w:tc>
        <w:tc>
          <w:tcPr>
            <w:tcW w:w="1276" w:type="dxa"/>
            <w:gridSpan w:val="3"/>
            <w:tcBorders>
              <w:top w:val="single" w:sz="18" w:space="0" w:color="000000"/>
              <w:left w:val="single" w:sz="18" w:space="0" w:color="auto"/>
              <w:bottom w:val="single" w:sz="8" w:space="0" w:color="000000"/>
              <w:right w:val="single" w:sz="18" w:space="0" w:color="auto"/>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sidRPr="00F35EB6">
              <w:rPr>
                <w:rFonts w:ascii="Times New Roman" w:eastAsia="Times New Roman" w:hAnsi="Times New Roman" w:cs="Times New Roman"/>
                <w:b/>
                <w:bCs/>
                <w:color w:val="000000"/>
                <w:sz w:val="16"/>
                <w:szCs w:val="16"/>
                <w:lang w:eastAsia="hu-HU"/>
              </w:rPr>
              <w:t>Áttétel</w:t>
            </w:r>
          </w:p>
        </w:tc>
      </w:tr>
      <w:tr w:rsidR="000A1E77" w:rsidRPr="00F35EB6" w:rsidTr="006418B7">
        <w:trPr>
          <w:trHeight w:val="271"/>
        </w:trPr>
        <w:tc>
          <w:tcPr>
            <w:tcW w:w="763" w:type="dxa"/>
            <w:vMerge/>
            <w:tcBorders>
              <w:top w:val="single" w:sz="8" w:space="0" w:color="000000"/>
              <w:left w:val="single" w:sz="18" w:space="0" w:color="auto"/>
              <w:bottom w:val="single" w:sz="18" w:space="0" w:color="000000"/>
              <w:right w:val="single" w:sz="8" w:space="0" w:color="000000"/>
            </w:tcBorders>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p>
        </w:tc>
        <w:tc>
          <w:tcPr>
            <w:tcW w:w="528" w:type="dxa"/>
            <w:vMerge/>
            <w:tcBorders>
              <w:top w:val="single" w:sz="8" w:space="0" w:color="000000"/>
              <w:left w:val="single" w:sz="8" w:space="0" w:color="000000"/>
              <w:bottom w:val="single" w:sz="18" w:space="0" w:color="000000"/>
              <w:right w:val="single" w:sz="18" w:space="0" w:color="auto"/>
            </w:tcBorders>
            <w:vAlign w:val="bottom"/>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p>
        </w:tc>
        <w:tc>
          <w:tcPr>
            <w:tcW w:w="709" w:type="dxa"/>
            <w:tcBorders>
              <w:top w:val="nil"/>
              <w:left w:val="single" w:sz="18" w:space="0" w:color="auto"/>
              <w:bottom w:val="single" w:sz="18" w:space="0" w:color="auto"/>
              <w:right w:val="single" w:sz="8" w:space="0" w:color="000000"/>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30. § (1)</w:t>
            </w:r>
          </w:p>
        </w:tc>
        <w:tc>
          <w:tcPr>
            <w:tcW w:w="709" w:type="dxa"/>
            <w:tcBorders>
              <w:top w:val="nil"/>
              <w:left w:val="nil"/>
              <w:bottom w:val="single" w:sz="18" w:space="0" w:color="auto"/>
              <w:right w:val="single" w:sz="8" w:space="0" w:color="000000"/>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32. § a)</w:t>
            </w:r>
          </w:p>
        </w:tc>
        <w:tc>
          <w:tcPr>
            <w:tcW w:w="708" w:type="dxa"/>
            <w:gridSpan w:val="2"/>
            <w:tcBorders>
              <w:top w:val="nil"/>
              <w:left w:val="nil"/>
              <w:bottom w:val="single" w:sz="18" w:space="0" w:color="auto"/>
              <w:right w:val="single" w:sz="18" w:space="0" w:color="auto"/>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32.§ b)</w:t>
            </w:r>
          </w:p>
        </w:tc>
        <w:tc>
          <w:tcPr>
            <w:tcW w:w="426" w:type="dxa"/>
            <w:tcBorders>
              <w:top w:val="nil"/>
              <w:left w:val="single" w:sz="18" w:space="0" w:color="auto"/>
              <w:bottom w:val="single" w:sz="18" w:space="0" w:color="auto"/>
              <w:right w:val="single" w:sz="8" w:space="0" w:color="000000"/>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a)</w:t>
            </w:r>
          </w:p>
        </w:tc>
        <w:tc>
          <w:tcPr>
            <w:tcW w:w="567" w:type="dxa"/>
            <w:tcBorders>
              <w:top w:val="nil"/>
              <w:left w:val="nil"/>
              <w:bottom w:val="single" w:sz="18" w:space="0" w:color="auto"/>
              <w:right w:val="single" w:sz="8" w:space="0" w:color="000000"/>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b)</w:t>
            </w:r>
          </w:p>
        </w:tc>
        <w:tc>
          <w:tcPr>
            <w:tcW w:w="567" w:type="dxa"/>
            <w:tcBorders>
              <w:top w:val="nil"/>
              <w:left w:val="nil"/>
              <w:bottom w:val="single" w:sz="18" w:space="0" w:color="auto"/>
              <w:right w:val="single" w:sz="8" w:space="0" w:color="000000"/>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c)</w:t>
            </w:r>
          </w:p>
        </w:tc>
        <w:tc>
          <w:tcPr>
            <w:tcW w:w="567" w:type="dxa"/>
            <w:tcBorders>
              <w:top w:val="nil"/>
              <w:left w:val="nil"/>
              <w:bottom w:val="single" w:sz="18" w:space="0" w:color="auto"/>
              <w:right w:val="single" w:sz="8" w:space="0" w:color="auto"/>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d)</w:t>
            </w:r>
          </w:p>
        </w:tc>
        <w:tc>
          <w:tcPr>
            <w:tcW w:w="567" w:type="dxa"/>
            <w:vMerge/>
            <w:tcBorders>
              <w:left w:val="single" w:sz="8" w:space="0" w:color="auto"/>
              <w:bottom w:val="single" w:sz="18" w:space="0" w:color="auto"/>
              <w:right w:val="single" w:sz="18" w:space="0" w:color="auto"/>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p>
        </w:tc>
        <w:tc>
          <w:tcPr>
            <w:tcW w:w="708" w:type="dxa"/>
            <w:tcBorders>
              <w:top w:val="nil"/>
              <w:left w:val="single" w:sz="18" w:space="0" w:color="auto"/>
              <w:bottom w:val="single" w:sz="18" w:space="0" w:color="auto"/>
              <w:right w:val="single" w:sz="18" w:space="0" w:color="auto"/>
            </w:tcBorders>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32/A. §</w:t>
            </w:r>
          </w:p>
        </w:tc>
        <w:tc>
          <w:tcPr>
            <w:tcW w:w="709" w:type="dxa"/>
            <w:gridSpan w:val="2"/>
            <w:tcBorders>
              <w:top w:val="nil"/>
              <w:left w:val="single" w:sz="18" w:space="0" w:color="auto"/>
              <w:bottom w:val="single" w:sz="18" w:space="0" w:color="auto"/>
              <w:right w:val="single" w:sz="4" w:space="0" w:color="000000"/>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hat.</w:t>
            </w:r>
          </w:p>
        </w:tc>
        <w:tc>
          <w:tcPr>
            <w:tcW w:w="567" w:type="dxa"/>
            <w:tcBorders>
              <w:top w:val="nil"/>
              <w:left w:val="single" w:sz="4" w:space="0" w:color="000000"/>
              <w:bottom w:val="single" w:sz="18" w:space="0" w:color="auto"/>
              <w:right w:val="single" w:sz="18" w:space="0" w:color="auto"/>
            </w:tcBorders>
            <w:shd w:val="clear" w:color="auto" w:fill="auto"/>
            <w:hideMark/>
          </w:tcPr>
          <w:p w:rsidR="000A1E77" w:rsidRPr="00F35EB6"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ill.</w:t>
            </w:r>
          </w:p>
        </w:tc>
      </w:tr>
      <w:tr w:rsidR="000A1E77" w:rsidRPr="00F35EB6" w:rsidTr="006418B7">
        <w:trPr>
          <w:trHeight w:val="281"/>
        </w:trPr>
        <w:tc>
          <w:tcPr>
            <w:tcW w:w="763" w:type="dxa"/>
            <w:tcBorders>
              <w:top w:val="single" w:sz="18" w:space="0" w:color="000000"/>
              <w:left w:val="single" w:sz="18" w:space="0" w:color="auto"/>
              <w:bottom w:val="single" w:sz="4" w:space="0" w:color="auto"/>
              <w:right w:val="single" w:sz="4" w:space="0" w:color="auto"/>
            </w:tcBorders>
          </w:tcPr>
          <w:p w:rsidR="000A1E77" w:rsidRPr="00EB0AE2" w:rsidRDefault="000A1E77" w:rsidP="006418B7">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I.f.év</w:t>
            </w:r>
          </w:p>
        </w:tc>
        <w:tc>
          <w:tcPr>
            <w:tcW w:w="528" w:type="dxa"/>
            <w:tcBorders>
              <w:top w:val="single" w:sz="18" w:space="0" w:color="000000"/>
              <w:left w:val="single" w:sz="4" w:space="0" w:color="auto"/>
              <w:bottom w:val="single" w:sz="4" w:space="0" w:color="auto"/>
              <w:right w:val="single" w:sz="18" w:space="0" w:color="auto"/>
            </w:tcBorders>
          </w:tcPr>
          <w:p w:rsidR="000A1E77" w:rsidRPr="00EB0AE2" w:rsidRDefault="000A1E77" w:rsidP="006418B7">
            <w:pPr>
              <w:jc w:val="center"/>
              <w:rPr>
                <w:rFonts w:ascii="Arial" w:eastAsia="Times New Roman" w:hAnsi="Arial" w:cs="Arial"/>
                <w:b/>
                <w:bCs/>
                <w:color w:val="000000"/>
                <w:sz w:val="20"/>
                <w:szCs w:val="20"/>
                <w:lang w:eastAsia="hu-HU"/>
              </w:rPr>
            </w:pPr>
            <w:r w:rsidRPr="00EB0AE2">
              <w:rPr>
                <w:rFonts w:ascii="Arial" w:eastAsia="Times New Roman" w:hAnsi="Arial" w:cs="Arial"/>
                <w:b/>
                <w:bCs/>
                <w:color w:val="000000"/>
                <w:sz w:val="20"/>
                <w:szCs w:val="20"/>
                <w:lang w:eastAsia="hu-HU"/>
              </w:rPr>
              <w:t>159</w:t>
            </w:r>
          </w:p>
        </w:tc>
        <w:tc>
          <w:tcPr>
            <w:tcW w:w="709" w:type="dxa"/>
            <w:tcBorders>
              <w:top w:val="single" w:sz="18" w:space="0" w:color="auto"/>
              <w:left w:val="single" w:sz="18"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13</w:t>
            </w:r>
          </w:p>
        </w:tc>
        <w:tc>
          <w:tcPr>
            <w:tcW w:w="709" w:type="dxa"/>
            <w:tcBorders>
              <w:top w:val="single" w:sz="18" w:space="0" w:color="auto"/>
              <w:left w:val="single" w:sz="4"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8</w:t>
            </w:r>
          </w:p>
        </w:tc>
        <w:tc>
          <w:tcPr>
            <w:tcW w:w="708" w:type="dxa"/>
            <w:gridSpan w:val="2"/>
            <w:tcBorders>
              <w:top w:val="single" w:sz="18" w:space="0" w:color="auto"/>
              <w:left w:val="single" w:sz="4" w:space="0" w:color="auto"/>
              <w:bottom w:val="single" w:sz="4" w:space="0" w:color="auto"/>
              <w:right w:val="single" w:sz="18"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59</w:t>
            </w:r>
          </w:p>
        </w:tc>
        <w:tc>
          <w:tcPr>
            <w:tcW w:w="426" w:type="dxa"/>
            <w:tcBorders>
              <w:top w:val="single" w:sz="18" w:space="0" w:color="auto"/>
              <w:left w:val="single" w:sz="18"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11</w:t>
            </w:r>
          </w:p>
        </w:tc>
        <w:tc>
          <w:tcPr>
            <w:tcW w:w="567" w:type="dxa"/>
            <w:tcBorders>
              <w:top w:val="single" w:sz="18" w:space="0" w:color="auto"/>
              <w:left w:val="single" w:sz="4"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8</w:t>
            </w:r>
          </w:p>
        </w:tc>
        <w:tc>
          <w:tcPr>
            <w:tcW w:w="567" w:type="dxa"/>
            <w:tcBorders>
              <w:top w:val="single" w:sz="18" w:space="0" w:color="auto"/>
              <w:left w:val="single" w:sz="4"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30</w:t>
            </w:r>
          </w:p>
        </w:tc>
        <w:tc>
          <w:tcPr>
            <w:tcW w:w="567" w:type="dxa"/>
            <w:tcBorders>
              <w:top w:val="single" w:sz="18" w:space="0" w:color="auto"/>
              <w:left w:val="single" w:sz="4"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19</w:t>
            </w:r>
          </w:p>
        </w:tc>
        <w:tc>
          <w:tcPr>
            <w:tcW w:w="567" w:type="dxa"/>
            <w:tcBorders>
              <w:top w:val="single" w:sz="18" w:space="0" w:color="auto"/>
              <w:left w:val="single" w:sz="4" w:space="0" w:color="auto"/>
              <w:bottom w:val="single" w:sz="4" w:space="0" w:color="auto"/>
              <w:right w:val="single" w:sz="18"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1</w:t>
            </w:r>
          </w:p>
        </w:tc>
        <w:tc>
          <w:tcPr>
            <w:tcW w:w="708" w:type="dxa"/>
            <w:tcBorders>
              <w:top w:val="single" w:sz="18" w:space="0" w:color="auto"/>
              <w:left w:val="single" w:sz="18" w:space="0" w:color="auto"/>
              <w:bottom w:val="single" w:sz="4" w:space="0" w:color="auto"/>
              <w:right w:val="single" w:sz="18" w:space="0" w:color="auto"/>
            </w:tcBorders>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3</w:t>
            </w:r>
          </w:p>
        </w:tc>
        <w:tc>
          <w:tcPr>
            <w:tcW w:w="709" w:type="dxa"/>
            <w:gridSpan w:val="2"/>
            <w:tcBorders>
              <w:top w:val="single" w:sz="18" w:space="0" w:color="auto"/>
              <w:left w:val="single" w:sz="18"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5</w:t>
            </w:r>
          </w:p>
        </w:tc>
        <w:tc>
          <w:tcPr>
            <w:tcW w:w="567" w:type="dxa"/>
            <w:tcBorders>
              <w:top w:val="single" w:sz="18" w:space="0" w:color="auto"/>
              <w:left w:val="single" w:sz="4" w:space="0" w:color="auto"/>
              <w:bottom w:val="single" w:sz="4" w:space="0" w:color="auto"/>
              <w:right w:val="single" w:sz="18"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2</w:t>
            </w:r>
          </w:p>
        </w:tc>
      </w:tr>
      <w:tr w:rsidR="000A1E77" w:rsidRPr="00F35EB6" w:rsidTr="006418B7">
        <w:trPr>
          <w:trHeight w:val="264"/>
        </w:trPr>
        <w:tc>
          <w:tcPr>
            <w:tcW w:w="763" w:type="dxa"/>
            <w:tcBorders>
              <w:top w:val="single" w:sz="4" w:space="0" w:color="auto"/>
              <w:left w:val="single" w:sz="18" w:space="0" w:color="auto"/>
              <w:bottom w:val="single" w:sz="4" w:space="0" w:color="auto"/>
              <w:right w:val="single" w:sz="4" w:space="0" w:color="auto"/>
            </w:tcBorders>
          </w:tcPr>
          <w:p w:rsidR="000A1E77" w:rsidRPr="00F35EB6" w:rsidRDefault="000A1E77" w:rsidP="006418B7">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II.f.év</w:t>
            </w:r>
          </w:p>
        </w:tc>
        <w:tc>
          <w:tcPr>
            <w:tcW w:w="528" w:type="dxa"/>
            <w:tcBorders>
              <w:top w:val="single" w:sz="4" w:space="0" w:color="auto"/>
              <w:left w:val="single" w:sz="4" w:space="0" w:color="auto"/>
              <w:bottom w:val="single" w:sz="4" w:space="0" w:color="auto"/>
              <w:right w:val="single" w:sz="18" w:space="0" w:color="auto"/>
            </w:tcBorders>
          </w:tcPr>
          <w:p w:rsidR="000A1E77" w:rsidRPr="00F35EB6" w:rsidRDefault="000A1E77" w:rsidP="006418B7">
            <w:pPr>
              <w:jc w:val="center"/>
              <w:rPr>
                <w:rFonts w:ascii="Arial" w:eastAsia="Times New Roman" w:hAnsi="Arial" w:cs="Arial"/>
                <w:b/>
                <w:bCs/>
                <w:color w:val="000000"/>
                <w:sz w:val="20"/>
                <w:szCs w:val="20"/>
                <w:lang w:eastAsia="hu-HU"/>
              </w:rPr>
            </w:pPr>
            <w:r w:rsidRPr="00F35EB6">
              <w:rPr>
                <w:rFonts w:ascii="Arial" w:eastAsia="Times New Roman" w:hAnsi="Arial" w:cs="Arial"/>
                <w:b/>
                <w:bCs/>
                <w:color w:val="000000"/>
                <w:sz w:val="20"/>
                <w:szCs w:val="20"/>
                <w:lang w:eastAsia="hu-HU"/>
              </w:rPr>
              <w:t>158</w:t>
            </w:r>
          </w:p>
        </w:tc>
        <w:tc>
          <w:tcPr>
            <w:tcW w:w="709" w:type="dxa"/>
            <w:tcBorders>
              <w:top w:val="single" w:sz="4" w:space="0" w:color="auto"/>
              <w:left w:val="single" w:sz="18"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2</w:t>
            </w:r>
          </w:p>
        </w:tc>
        <w:tc>
          <w:tcPr>
            <w:tcW w:w="708" w:type="dxa"/>
            <w:gridSpan w:val="2"/>
            <w:tcBorders>
              <w:top w:val="single" w:sz="4" w:space="0" w:color="auto"/>
              <w:left w:val="single" w:sz="4" w:space="0" w:color="auto"/>
              <w:bottom w:val="single" w:sz="4" w:space="0" w:color="auto"/>
              <w:right w:val="single" w:sz="18"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61</w:t>
            </w:r>
          </w:p>
        </w:tc>
        <w:tc>
          <w:tcPr>
            <w:tcW w:w="426" w:type="dxa"/>
            <w:tcBorders>
              <w:top w:val="single" w:sz="4" w:space="0" w:color="auto"/>
              <w:left w:val="single" w:sz="18"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22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32</w:t>
            </w:r>
          </w:p>
        </w:tc>
        <w:tc>
          <w:tcPr>
            <w:tcW w:w="567" w:type="dxa"/>
            <w:tcBorders>
              <w:top w:val="single" w:sz="4" w:space="0" w:color="auto"/>
              <w:left w:val="single" w:sz="4" w:space="0" w:color="auto"/>
              <w:bottom w:val="single" w:sz="4" w:space="0" w:color="auto"/>
              <w:right w:val="single" w:sz="18"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4</w:t>
            </w:r>
          </w:p>
        </w:tc>
        <w:tc>
          <w:tcPr>
            <w:tcW w:w="708" w:type="dxa"/>
            <w:tcBorders>
              <w:top w:val="single" w:sz="4" w:space="0" w:color="auto"/>
              <w:left w:val="single" w:sz="18" w:space="0" w:color="auto"/>
              <w:bottom w:val="single" w:sz="4" w:space="0" w:color="auto"/>
              <w:right w:val="single" w:sz="18" w:space="0" w:color="auto"/>
            </w:tcBorders>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2</w:t>
            </w:r>
          </w:p>
        </w:tc>
        <w:tc>
          <w:tcPr>
            <w:tcW w:w="709" w:type="dxa"/>
            <w:gridSpan w:val="2"/>
            <w:tcBorders>
              <w:top w:val="single" w:sz="4" w:space="0" w:color="auto"/>
              <w:left w:val="single" w:sz="18" w:space="0" w:color="auto"/>
              <w:bottom w:val="single" w:sz="4"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1</w:t>
            </w:r>
          </w:p>
        </w:tc>
        <w:tc>
          <w:tcPr>
            <w:tcW w:w="567" w:type="dxa"/>
            <w:tcBorders>
              <w:top w:val="single" w:sz="4" w:space="0" w:color="auto"/>
              <w:left w:val="single" w:sz="4" w:space="0" w:color="auto"/>
              <w:bottom w:val="single" w:sz="4" w:space="0" w:color="auto"/>
              <w:right w:val="single" w:sz="18"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sz w:val="20"/>
                <w:szCs w:val="20"/>
                <w:lang w:eastAsia="hu-HU"/>
              </w:rPr>
            </w:pPr>
            <w:r w:rsidRPr="00C5315B">
              <w:rPr>
                <w:rFonts w:ascii="Times New Roman" w:eastAsia="Times New Roman" w:hAnsi="Times New Roman" w:cs="Times New Roman"/>
                <w:b/>
                <w:bCs/>
                <w:color w:val="000000"/>
                <w:sz w:val="20"/>
                <w:szCs w:val="20"/>
                <w:lang w:eastAsia="hu-HU"/>
              </w:rPr>
              <w:t>2</w:t>
            </w:r>
          </w:p>
        </w:tc>
      </w:tr>
      <w:tr w:rsidR="000A1E77" w:rsidRPr="00F35EB6" w:rsidTr="006418B7">
        <w:trPr>
          <w:trHeight w:val="282"/>
        </w:trPr>
        <w:tc>
          <w:tcPr>
            <w:tcW w:w="763" w:type="dxa"/>
            <w:tcBorders>
              <w:top w:val="single" w:sz="4" w:space="0" w:color="auto"/>
              <w:left w:val="single" w:sz="18" w:space="0" w:color="auto"/>
              <w:bottom w:val="single" w:sz="18" w:space="0" w:color="auto"/>
              <w:right w:val="single" w:sz="4" w:space="0" w:color="auto"/>
            </w:tcBorders>
          </w:tcPr>
          <w:p w:rsidR="000A1E77" w:rsidRPr="00F35EB6" w:rsidRDefault="000A1E77" w:rsidP="006418B7">
            <w:pPr>
              <w:jc w:val="center"/>
              <w:rPr>
                <w:rFonts w:ascii="Arial" w:eastAsia="Times New Roman" w:hAnsi="Arial" w:cs="Arial"/>
                <w:b/>
                <w:bCs/>
                <w:color w:val="000000"/>
                <w:sz w:val="20"/>
                <w:szCs w:val="20"/>
                <w:lang w:eastAsia="hu-HU"/>
              </w:rPr>
            </w:pPr>
          </w:p>
        </w:tc>
        <w:tc>
          <w:tcPr>
            <w:tcW w:w="528" w:type="dxa"/>
            <w:tcBorders>
              <w:top w:val="single" w:sz="4" w:space="0" w:color="auto"/>
              <w:left w:val="single" w:sz="4" w:space="0" w:color="auto"/>
              <w:bottom w:val="single" w:sz="18" w:space="0" w:color="auto"/>
              <w:right w:val="single" w:sz="18" w:space="0" w:color="auto"/>
            </w:tcBorders>
          </w:tcPr>
          <w:p w:rsidR="000A1E77" w:rsidRPr="009A42FC" w:rsidRDefault="000A1E77" w:rsidP="006418B7">
            <w:pPr>
              <w:jc w:val="center"/>
              <w:rPr>
                <w:rFonts w:ascii="Times New Roman" w:eastAsia="Times New Roman" w:hAnsi="Times New Roman" w:cs="Times New Roman"/>
                <w:b/>
                <w:bCs/>
                <w:color w:val="000000"/>
                <w:lang w:eastAsia="hu-HU"/>
              </w:rPr>
            </w:pPr>
            <w:r w:rsidRPr="009A42FC">
              <w:rPr>
                <w:rFonts w:ascii="Times New Roman" w:eastAsia="Times New Roman" w:hAnsi="Times New Roman" w:cs="Times New Roman"/>
                <w:b/>
                <w:bCs/>
                <w:color w:val="000000"/>
                <w:lang w:eastAsia="hu-HU"/>
              </w:rPr>
              <w:t>317</w:t>
            </w:r>
          </w:p>
        </w:tc>
        <w:tc>
          <w:tcPr>
            <w:tcW w:w="709" w:type="dxa"/>
            <w:tcBorders>
              <w:top w:val="single" w:sz="4" w:space="0" w:color="auto"/>
              <w:left w:val="single" w:sz="18" w:space="0" w:color="auto"/>
              <w:bottom w:val="single" w:sz="18"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34</w:t>
            </w:r>
          </w:p>
        </w:tc>
        <w:tc>
          <w:tcPr>
            <w:tcW w:w="709" w:type="dxa"/>
            <w:tcBorders>
              <w:top w:val="single" w:sz="4" w:space="0" w:color="auto"/>
              <w:left w:val="single" w:sz="4" w:space="0" w:color="auto"/>
              <w:bottom w:val="single" w:sz="18"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10</w:t>
            </w:r>
          </w:p>
        </w:tc>
        <w:tc>
          <w:tcPr>
            <w:tcW w:w="708" w:type="dxa"/>
            <w:gridSpan w:val="2"/>
            <w:tcBorders>
              <w:top w:val="single" w:sz="4" w:space="0" w:color="auto"/>
              <w:left w:val="single" w:sz="4" w:space="0" w:color="auto"/>
              <w:bottom w:val="single" w:sz="18" w:space="0" w:color="auto"/>
              <w:right w:val="single" w:sz="18"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120</w:t>
            </w:r>
          </w:p>
        </w:tc>
        <w:tc>
          <w:tcPr>
            <w:tcW w:w="426" w:type="dxa"/>
            <w:tcBorders>
              <w:top w:val="single" w:sz="4" w:space="0" w:color="auto"/>
              <w:left w:val="single" w:sz="18" w:space="0" w:color="auto"/>
              <w:bottom w:val="single" w:sz="18"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15</w:t>
            </w:r>
          </w:p>
        </w:tc>
        <w:tc>
          <w:tcPr>
            <w:tcW w:w="567" w:type="dxa"/>
            <w:tcBorders>
              <w:top w:val="single" w:sz="4" w:space="0" w:color="auto"/>
              <w:left w:val="single" w:sz="4" w:space="0" w:color="auto"/>
              <w:bottom w:val="single" w:sz="18"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15</w:t>
            </w:r>
          </w:p>
        </w:tc>
        <w:tc>
          <w:tcPr>
            <w:tcW w:w="567" w:type="dxa"/>
            <w:tcBorders>
              <w:top w:val="single" w:sz="4" w:space="0" w:color="auto"/>
              <w:left w:val="single" w:sz="4" w:space="0" w:color="auto"/>
              <w:bottom w:val="single" w:sz="18"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52</w:t>
            </w:r>
          </w:p>
        </w:tc>
        <w:tc>
          <w:tcPr>
            <w:tcW w:w="567" w:type="dxa"/>
            <w:tcBorders>
              <w:top w:val="single" w:sz="4" w:space="0" w:color="auto"/>
              <w:left w:val="single" w:sz="4" w:space="0" w:color="auto"/>
              <w:bottom w:val="single" w:sz="18"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51</w:t>
            </w:r>
          </w:p>
        </w:tc>
        <w:tc>
          <w:tcPr>
            <w:tcW w:w="567" w:type="dxa"/>
            <w:tcBorders>
              <w:top w:val="single" w:sz="4" w:space="0" w:color="auto"/>
              <w:left w:val="single" w:sz="4" w:space="0" w:color="auto"/>
              <w:bottom w:val="single" w:sz="18" w:space="0" w:color="auto"/>
              <w:right w:val="single" w:sz="18"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5</w:t>
            </w:r>
          </w:p>
        </w:tc>
        <w:tc>
          <w:tcPr>
            <w:tcW w:w="708" w:type="dxa"/>
            <w:tcBorders>
              <w:top w:val="single" w:sz="4" w:space="0" w:color="auto"/>
              <w:left w:val="single" w:sz="18" w:space="0" w:color="auto"/>
              <w:bottom w:val="single" w:sz="18" w:space="0" w:color="auto"/>
              <w:right w:val="single" w:sz="18" w:space="0" w:color="auto"/>
            </w:tcBorders>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5</w:t>
            </w:r>
          </w:p>
        </w:tc>
        <w:tc>
          <w:tcPr>
            <w:tcW w:w="709" w:type="dxa"/>
            <w:gridSpan w:val="2"/>
            <w:tcBorders>
              <w:top w:val="single" w:sz="4" w:space="0" w:color="auto"/>
              <w:left w:val="single" w:sz="18" w:space="0" w:color="auto"/>
              <w:bottom w:val="single" w:sz="18" w:space="0" w:color="auto"/>
              <w:right w:val="single" w:sz="4"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6</w:t>
            </w:r>
          </w:p>
        </w:tc>
        <w:tc>
          <w:tcPr>
            <w:tcW w:w="567" w:type="dxa"/>
            <w:tcBorders>
              <w:top w:val="single" w:sz="4" w:space="0" w:color="auto"/>
              <w:left w:val="single" w:sz="4" w:space="0" w:color="auto"/>
              <w:bottom w:val="single" w:sz="18" w:space="0" w:color="auto"/>
              <w:right w:val="single" w:sz="18" w:space="0" w:color="auto"/>
            </w:tcBorders>
            <w:shd w:val="clear" w:color="auto" w:fill="auto"/>
          </w:tcPr>
          <w:p w:rsidR="000A1E77" w:rsidRPr="00C5315B" w:rsidRDefault="000A1E77" w:rsidP="006418B7">
            <w:pPr>
              <w:jc w:val="center"/>
              <w:rPr>
                <w:rFonts w:ascii="Times New Roman" w:eastAsia="Times New Roman" w:hAnsi="Times New Roman" w:cs="Times New Roman"/>
                <w:b/>
                <w:bCs/>
                <w:color w:val="000000"/>
                <w:lang w:eastAsia="hu-HU"/>
              </w:rPr>
            </w:pPr>
            <w:r w:rsidRPr="00C5315B">
              <w:rPr>
                <w:rFonts w:ascii="Times New Roman" w:eastAsia="Times New Roman" w:hAnsi="Times New Roman" w:cs="Times New Roman"/>
                <w:b/>
                <w:bCs/>
                <w:color w:val="000000"/>
                <w:lang w:eastAsia="hu-HU"/>
              </w:rPr>
              <w:t>4</w:t>
            </w:r>
          </w:p>
        </w:tc>
      </w:tr>
      <w:tr w:rsidR="000A1E77" w:rsidRPr="00F35EB6" w:rsidTr="006418B7">
        <w:trPr>
          <w:trHeight w:val="237"/>
        </w:trPr>
        <w:tc>
          <w:tcPr>
            <w:tcW w:w="763" w:type="dxa"/>
            <w:tcBorders>
              <w:top w:val="single" w:sz="18" w:space="0" w:color="auto"/>
              <w:left w:val="single" w:sz="18" w:space="0" w:color="auto"/>
              <w:bottom w:val="single" w:sz="4" w:space="0" w:color="auto"/>
              <w:right w:val="single" w:sz="4" w:space="0" w:color="auto"/>
            </w:tcBorders>
          </w:tcPr>
          <w:p w:rsidR="000A1E77" w:rsidRPr="00F35EB6" w:rsidRDefault="000A1E77" w:rsidP="006418B7">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1)</w:t>
            </w:r>
          </w:p>
        </w:tc>
        <w:tc>
          <w:tcPr>
            <w:tcW w:w="528" w:type="dxa"/>
            <w:tcBorders>
              <w:top w:val="single" w:sz="18" w:space="0" w:color="auto"/>
              <w:left w:val="single" w:sz="4" w:space="0" w:color="auto"/>
              <w:bottom w:val="single" w:sz="4" w:space="0" w:color="auto"/>
              <w:right w:val="single" w:sz="18" w:space="0" w:color="auto"/>
            </w:tcBorders>
          </w:tcPr>
          <w:p w:rsidR="000A1E77" w:rsidRPr="009A42FC" w:rsidRDefault="000A1E77" w:rsidP="006418B7">
            <w:pPr>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w:t>
            </w:r>
          </w:p>
        </w:tc>
        <w:tc>
          <w:tcPr>
            <w:tcW w:w="709" w:type="dxa"/>
            <w:tcBorders>
              <w:top w:val="single" w:sz="18" w:space="0" w:color="auto"/>
              <w:left w:val="single" w:sz="18" w:space="0" w:color="auto"/>
              <w:bottom w:val="single" w:sz="4" w:space="0" w:color="auto"/>
              <w:right w:val="single" w:sz="4"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10,73</w:t>
            </w:r>
          </w:p>
        </w:tc>
        <w:tc>
          <w:tcPr>
            <w:tcW w:w="709" w:type="dxa"/>
            <w:tcBorders>
              <w:top w:val="single" w:sz="18" w:space="0" w:color="auto"/>
              <w:left w:val="single" w:sz="4" w:space="0" w:color="auto"/>
              <w:bottom w:val="single" w:sz="4" w:space="0" w:color="auto"/>
              <w:right w:val="single" w:sz="4"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3,15</w:t>
            </w:r>
          </w:p>
        </w:tc>
        <w:tc>
          <w:tcPr>
            <w:tcW w:w="708" w:type="dxa"/>
            <w:gridSpan w:val="2"/>
            <w:tcBorders>
              <w:top w:val="single" w:sz="18" w:space="0" w:color="auto"/>
              <w:left w:val="single" w:sz="4" w:space="0" w:color="auto"/>
              <w:bottom w:val="single" w:sz="4" w:space="0" w:color="auto"/>
              <w:right w:val="single" w:sz="1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37,85</w:t>
            </w:r>
          </w:p>
        </w:tc>
        <w:tc>
          <w:tcPr>
            <w:tcW w:w="426" w:type="dxa"/>
            <w:tcBorders>
              <w:top w:val="single" w:sz="18" w:space="0" w:color="auto"/>
              <w:left w:val="single" w:sz="18" w:space="0" w:color="auto"/>
              <w:bottom w:val="single" w:sz="4" w:space="0" w:color="auto"/>
              <w:right w:val="single" w:sz="4"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4,73</w:t>
            </w:r>
          </w:p>
        </w:tc>
        <w:tc>
          <w:tcPr>
            <w:tcW w:w="567" w:type="dxa"/>
            <w:tcBorders>
              <w:top w:val="single" w:sz="18" w:space="0" w:color="auto"/>
              <w:left w:val="single" w:sz="4" w:space="0" w:color="auto"/>
              <w:bottom w:val="single" w:sz="4" w:space="0" w:color="auto"/>
              <w:right w:val="single" w:sz="4"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4,73</w:t>
            </w:r>
          </w:p>
        </w:tc>
        <w:tc>
          <w:tcPr>
            <w:tcW w:w="567" w:type="dxa"/>
            <w:tcBorders>
              <w:top w:val="single" w:sz="18" w:space="0" w:color="auto"/>
              <w:left w:val="single" w:sz="4" w:space="0" w:color="auto"/>
              <w:bottom w:val="single" w:sz="4" w:space="0" w:color="auto"/>
              <w:right w:val="single" w:sz="4"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16,40</w:t>
            </w:r>
          </w:p>
        </w:tc>
        <w:tc>
          <w:tcPr>
            <w:tcW w:w="567" w:type="dxa"/>
            <w:tcBorders>
              <w:top w:val="single" w:sz="18" w:space="0" w:color="auto"/>
              <w:left w:val="single" w:sz="4" w:space="0" w:color="auto"/>
              <w:bottom w:val="single" w:sz="4" w:space="0" w:color="auto"/>
              <w:right w:val="single" w:sz="4"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16,09</w:t>
            </w:r>
          </w:p>
        </w:tc>
        <w:tc>
          <w:tcPr>
            <w:tcW w:w="567" w:type="dxa"/>
            <w:tcBorders>
              <w:top w:val="single" w:sz="18" w:space="0" w:color="auto"/>
              <w:left w:val="single" w:sz="4" w:space="0" w:color="auto"/>
              <w:bottom w:val="single" w:sz="4" w:space="0" w:color="auto"/>
              <w:right w:val="single" w:sz="1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708" w:type="dxa"/>
            <w:tcBorders>
              <w:top w:val="single" w:sz="18" w:space="0" w:color="auto"/>
              <w:left w:val="single" w:sz="18" w:space="0" w:color="auto"/>
              <w:bottom w:val="single" w:sz="4" w:space="0" w:color="auto"/>
              <w:right w:val="single" w:sz="18" w:space="0" w:color="auto"/>
            </w:tcBorders>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709" w:type="dxa"/>
            <w:gridSpan w:val="2"/>
            <w:tcBorders>
              <w:top w:val="single" w:sz="18" w:space="0" w:color="auto"/>
              <w:left w:val="single" w:sz="18" w:space="0" w:color="auto"/>
              <w:bottom w:val="single" w:sz="4" w:space="0" w:color="auto"/>
              <w:right w:val="single" w:sz="4"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1,89</w:t>
            </w:r>
          </w:p>
        </w:tc>
        <w:tc>
          <w:tcPr>
            <w:tcW w:w="567" w:type="dxa"/>
            <w:tcBorders>
              <w:top w:val="single" w:sz="18" w:space="0" w:color="auto"/>
              <w:left w:val="single" w:sz="4" w:space="0" w:color="auto"/>
              <w:bottom w:val="single" w:sz="4" w:space="0" w:color="auto"/>
              <w:right w:val="single" w:sz="1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1,26</w:t>
            </w:r>
          </w:p>
        </w:tc>
      </w:tr>
      <w:tr w:rsidR="000A1E77" w:rsidRPr="00F35EB6" w:rsidTr="006418B7">
        <w:trPr>
          <w:trHeight w:val="234"/>
        </w:trPr>
        <w:tc>
          <w:tcPr>
            <w:tcW w:w="763" w:type="dxa"/>
            <w:tcBorders>
              <w:top w:val="single" w:sz="4" w:space="0" w:color="auto"/>
              <w:left w:val="single" w:sz="18" w:space="0" w:color="auto"/>
              <w:bottom w:val="single" w:sz="4" w:space="0" w:color="auto"/>
              <w:right w:val="single" w:sz="4" w:space="0" w:color="auto"/>
            </w:tcBorders>
          </w:tcPr>
          <w:p w:rsidR="000A1E77" w:rsidRPr="00F35EB6" w:rsidRDefault="000A1E77" w:rsidP="006418B7">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2)</w:t>
            </w:r>
          </w:p>
        </w:tc>
        <w:tc>
          <w:tcPr>
            <w:tcW w:w="528" w:type="dxa"/>
            <w:tcBorders>
              <w:top w:val="single" w:sz="4" w:space="0" w:color="auto"/>
              <w:left w:val="single" w:sz="4" w:space="0" w:color="auto"/>
              <w:bottom w:val="single" w:sz="4" w:space="0" w:color="auto"/>
              <w:right w:val="single" w:sz="18" w:space="0" w:color="auto"/>
            </w:tcBorders>
          </w:tcPr>
          <w:p w:rsidR="000A1E77" w:rsidRPr="009A42FC" w:rsidRDefault="000A1E77" w:rsidP="006418B7">
            <w:pPr>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w:t>
            </w:r>
          </w:p>
        </w:tc>
        <w:tc>
          <w:tcPr>
            <w:tcW w:w="1418" w:type="dxa"/>
            <w:gridSpan w:val="2"/>
            <w:tcBorders>
              <w:top w:val="single" w:sz="4" w:space="0" w:color="auto"/>
              <w:left w:val="single" w:sz="18" w:space="0" w:color="auto"/>
              <w:bottom w:val="single" w:sz="4" w:space="0" w:color="auto"/>
              <w:right w:val="single" w:sz="4"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13,88</w:t>
            </w:r>
          </w:p>
        </w:tc>
        <w:tc>
          <w:tcPr>
            <w:tcW w:w="708" w:type="dxa"/>
            <w:gridSpan w:val="2"/>
            <w:tcBorders>
              <w:top w:val="single" w:sz="4" w:space="0" w:color="auto"/>
              <w:left w:val="single" w:sz="4" w:space="0" w:color="auto"/>
              <w:bottom w:val="single" w:sz="4" w:space="0" w:color="auto"/>
              <w:right w:val="single" w:sz="1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37,85</w:t>
            </w:r>
          </w:p>
        </w:tc>
        <w:tc>
          <w:tcPr>
            <w:tcW w:w="993" w:type="dxa"/>
            <w:gridSpan w:val="2"/>
            <w:tcBorders>
              <w:top w:val="single" w:sz="4" w:space="0" w:color="auto"/>
              <w:left w:val="single" w:sz="18" w:space="0" w:color="auto"/>
              <w:bottom w:val="single" w:sz="4" w:space="0" w:color="auto"/>
              <w:right w:val="single" w:sz="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9,46</w:t>
            </w:r>
          </w:p>
        </w:tc>
        <w:tc>
          <w:tcPr>
            <w:tcW w:w="1134" w:type="dxa"/>
            <w:gridSpan w:val="2"/>
            <w:tcBorders>
              <w:top w:val="single" w:sz="4" w:space="0" w:color="auto"/>
              <w:left w:val="single" w:sz="8" w:space="0" w:color="auto"/>
              <w:bottom w:val="single" w:sz="4" w:space="0" w:color="auto"/>
              <w:right w:val="single" w:sz="4"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32,49</w:t>
            </w:r>
          </w:p>
        </w:tc>
        <w:tc>
          <w:tcPr>
            <w:tcW w:w="567" w:type="dxa"/>
            <w:tcBorders>
              <w:top w:val="single" w:sz="4" w:space="0" w:color="auto"/>
              <w:left w:val="single" w:sz="4" w:space="0" w:color="auto"/>
              <w:bottom w:val="single" w:sz="4" w:space="0" w:color="auto"/>
              <w:right w:val="single" w:sz="1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708" w:type="dxa"/>
            <w:tcBorders>
              <w:top w:val="single" w:sz="4" w:space="0" w:color="auto"/>
              <w:left w:val="single" w:sz="18" w:space="0" w:color="auto"/>
              <w:bottom w:val="single" w:sz="4" w:space="0" w:color="auto"/>
              <w:right w:val="single" w:sz="18" w:space="0" w:color="auto"/>
            </w:tcBorders>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3,15</w:t>
            </w:r>
          </w:p>
        </w:tc>
      </w:tr>
      <w:tr w:rsidR="000A1E77" w:rsidRPr="00F35EB6" w:rsidTr="006418B7">
        <w:trPr>
          <w:trHeight w:val="238"/>
        </w:trPr>
        <w:tc>
          <w:tcPr>
            <w:tcW w:w="763" w:type="dxa"/>
            <w:tcBorders>
              <w:top w:val="single" w:sz="4" w:space="0" w:color="auto"/>
              <w:left w:val="single" w:sz="18" w:space="0" w:color="auto"/>
              <w:bottom w:val="single" w:sz="4" w:space="0" w:color="auto"/>
              <w:right w:val="single" w:sz="4" w:space="0" w:color="auto"/>
            </w:tcBorders>
          </w:tcPr>
          <w:p w:rsidR="000A1E77" w:rsidRPr="00F35EB6" w:rsidRDefault="000A1E77" w:rsidP="006418B7">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3)</w:t>
            </w:r>
          </w:p>
        </w:tc>
        <w:tc>
          <w:tcPr>
            <w:tcW w:w="528" w:type="dxa"/>
            <w:tcBorders>
              <w:top w:val="single" w:sz="4" w:space="0" w:color="auto"/>
              <w:left w:val="single" w:sz="4" w:space="0" w:color="auto"/>
              <w:bottom w:val="single" w:sz="4" w:space="0" w:color="auto"/>
              <w:right w:val="single" w:sz="18" w:space="0" w:color="auto"/>
            </w:tcBorders>
          </w:tcPr>
          <w:p w:rsidR="000A1E77" w:rsidRPr="009A42FC" w:rsidRDefault="000A1E77" w:rsidP="006418B7">
            <w:pPr>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w:t>
            </w:r>
          </w:p>
        </w:tc>
        <w:tc>
          <w:tcPr>
            <w:tcW w:w="1418" w:type="dxa"/>
            <w:gridSpan w:val="2"/>
            <w:tcBorders>
              <w:top w:val="single" w:sz="4" w:space="0" w:color="auto"/>
              <w:left w:val="single" w:sz="18" w:space="0" w:color="auto"/>
              <w:bottom w:val="single" w:sz="4" w:space="0" w:color="auto"/>
              <w:right w:val="single" w:sz="4"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13,88</w:t>
            </w:r>
          </w:p>
        </w:tc>
        <w:tc>
          <w:tcPr>
            <w:tcW w:w="708" w:type="dxa"/>
            <w:gridSpan w:val="2"/>
            <w:tcBorders>
              <w:top w:val="single" w:sz="4" w:space="0" w:color="auto"/>
              <w:left w:val="single" w:sz="4"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37,85</w:t>
            </w:r>
          </w:p>
        </w:tc>
        <w:tc>
          <w:tcPr>
            <w:tcW w:w="2127" w:type="dxa"/>
            <w:gridSpan w:val="4"/>
            <w:tcBorders>
              <w:top w:val="single" w:sz="4" w:space="0" w:color="auto"/>
              <w:left w:val="single" w:sz="18" w:space="0" w:color="auto"/>
              <w:bottom w:val="single" w:sz="4" w:space="0" w:color="auto"/>
              <w:right w:val="single" w:sz="4"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41,95</w:t>
            </w:r>
          </w:p>
        </w:tc>
        <w:tc>
          <w:tcPr>
            <w:tcW w:w="567" w:type="dxa"/>
            <w:tcBorders>
              <w:top w:val="single" w:sz="4" w:space="0" w:color="auto"/>
              <w:left w:val="single" w:sz="4"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708" w:type="dxa"/>
            <w:tcBorders>
              <w:top w:val="single" w:sz="4" w:space="0" w:color="auto"/>
              <w:left w:val="single" w:sz="18" w:space="0" w:color="auto"/>
              <w:bottom w:val="single" w:sz="4" w:space="0" w:color="auto"/>
              <w:right w:val="single" w:sz="18" w:space="0" w:color="auto"/>
            </w:tcBorders>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3,15</w:t>
            </w:r>
          </w:p>
        </w:tc>
      </w:tr>
      <w:tr w:rsidR="000A1E77" w:rsidRPr="00F35EB6" w:rsidTr="006418B7">
        <w:trPr>
          <w:trHeight w:val="228"/>
        </w:trPr>
        <w:tc>
          <w:tcPr>
            <w:tcW w:w="763" w:type="dxa"/>
            <w:tcBorders>
              <w:top w:val="single" w:sz="4" w:space="0" w:color="auto"/>
              <w:left w:val="single" w:sz="18" w:space="0" w:color="auto"/>
              <w:bottom w:val="single" w:sz="4" w:space="0" w:color="auto"/>
              <w:right w:val="single" w:sz="4" w:space="0" w:color="auto"/>
            </w:tcBorders>
          </w:tcPr>
          <w:p w:rsidR="000A1E77" w:rsidRPr="00F35EB6" w:rsidRDefault="000A1E77" w:rsidP="006418B7">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4)</w:t>
            </w:r>
          </w:p>
        </w:tc>
        <w:tc>
          <w:tcPr>
            <w:tcW w:w="528" w:type="dxa"/>
            <w:tcBorders>
              <w:top w:val="single" w:sz="4" w:space="0" w:color="auto"/>
              <w:left w:val="single" w:sz="4" w:space="0" w:color="auto"/>
              <w:bottom w:val="single" w:sz="4" w:space="0" w:color="auto"/>
              <w:right w:val="single" w:sz="18" w:space="0" w:color="auto"/>
            </w:tcBorders>
          </w:tcPr>
          <w:p w:rsidR="000A1E77" w:rsidRPr="009A42FC" w:rsidRDefault="000A1E77" w:rsidP="006418B7">
            <w:pPr>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w:t>
            </w:r>
          </w:p>
        </w:tc>
        <w:tc>
          <w:tcPr>
            <w:tcW w:w="2126" w:type="dxa"/>
            <w:gridSpan w:val="4"/>
            <w:tcBorders>
              <w:top w:val="single" w:sz="4" w:space="0" w:color="auto"/>
              <w:left w:val="single" w:sz="1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51,73</w:t>
            </w:r>
          </w:p>
        </w:tc>
        <w:tc>
          <w:tcPr>
            <w:tcW w:w="993" w:type="dxa"/>
            <w:gridSpan w:val="2"/>
            <w:tcBorders>
              <w:top w:val="single" w:sz="4" w:space="0" w:color="auto"/>
              <w:left w:val="single" w:sz="18" w:space="0" w:color="auto"/>
              <w:bottom w:val="single" w:sz="4" w:space="0" w:color="auto"/>
              <w:right w:val="single" w:sz="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9,46</w:t>
            </w:r>
          </w:p>
        </w:tc>
        <w:tc>
          <w:tcPr>
            <w:tcW w:w="1701" w:type="dxa"/>
            <w:gridSpan w:val="3"/>
            <w:tcBorders>
              <w:top w:val="single" w:sz="4" w:space="0" w:color="auto"/>
              <w:left w:val="single" w:sz="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34,07</w:t>
            </w:r>
          </w:p>
        </w:tc>
        <w:tc>
          <w:tcPr>
            <w:tcW w:w="708" w:type="dxa"/>
            <w:tcBorders>
              <w:top w:val="single" w:sz="4" w:space="0" w:color="auto"/>
              <w:left w:val="single" w:sz="18" w:space="0" w:color="auto"/>
              <w:bottom w:val="single" w:sz="4" w:space="0" w:color="auto"/>
              <w:right w:val="single" w:sz="18" w:space="0" w:color="auto"/>
            </w:tcBorders>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3,15</w:t>
            </w:r>
          </w:p>
        </w:tc>
      </w:tr>
      <w:tr w:rsidR="000A1E77" w:rsidRPr="00F35EB6" w:rsidTr="006418B7">
        <w:trPr>
          <w:trHeight w:val="232"/>
        </w:trPr>
        <w:tc>
          <w:tcPr>
            <w:tcW w:w="763" w:type="dxa"/>
            <w:tcBorders>
              <w:top w:val="single" w:sz="4" w:space="0" w:color="auto"/>
              <w:left w:val="single" w:sz="18" w:space="0" w:color="auto"/>
              <w:bottom w:val="single" w:sz="4" w:space="0" w:color="auto"/>
              <w:right w:val="single" w:sz="4" w:space="0" w:color="auto"/>
            </w:tcBorders>
          </w:tcPr>
          <w:p w:rsidR="000A1E77" w:rsidRDefault="000A1E77" w:rsidP="006418B7">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5)</w:t>
            </w:r>
          </w:p>
        </w:tc>
        <w:tc>
          <w:tcPr>
            <w:tcW w:w="528" w:type="dxa"/>
            <w:tcBorders>
              <w:top w:val="single" w:sz="4" w:space="0" w:color="auto"/>
              <w:left w:val="single" w:sz="4" w:space="0" w:color="auto"/>
              <w:bottom w:val="single" w:sz="4" w:space="0" w:color="auto"/>
              <w:right w:val="single" w:sz="18" w:space="0" w:color="auto"/>
            </w:tcBorders>
          </w:tcPr>
          <w:p w:rsidR="000A1E77" w:rsidRDefault="000A1E77" w:rsidP="006418B7">
            <w:pPr>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w:t>
            </w:r>
          </w:p>
        </w:tc>
        <w:tc>
          <w:tcPr>
            <w:tcW w:w="2126" w:type="dxa"/>
            <w:gridSpan w:val="4"/>
            <w:tcBorders>
              <w:top w:val="single" w:sz="4" w:space="0" w:color="auto"/>
              <w:left w:val="single" w:sz="1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sidRPr="00AC6AA5">
              <w:rPr>
                <w:rFonts w:ascii="Times New Roman" w:eastAsia="Times New Roman" w:hAnsi="Times New Roman" w:cs="Times New Roman"/>
                <w:b/>
                <w:bCs/>
                <w:color w:val="000000"/>
                <w:sz w:val="16"/>
                <w:szCs w:val="16"/>
                <w:lang w:eastAsia="hu-HU"/>
              </w:rPr>
              <w:t>51,73</w:t>
            </w:r>
          </w:p>
        </w:tc>
        <w:tc>
          <w:tcPr>
            <w:tcW w:w="2694" w:type="dxa"/>
            <w:gridSpan w:val="5"/>
            <w:tcBorders>
              <w:top w:val="single" w:sz="4" w:space="0" w:color="auto"/>
              <w:left w:val="single" w:sz="1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43,53</w:t>
            </w:r>
          </w:p>
        </w:tc>
        <w:tc>
          <w:tcPr>
            <w:tcW w:w="708" w:type="dxa"/>
            <w:tcBorders>
              <w:top w:val="single" w:sz="4" w:space="0" w:color="auto"/>
              <w:left w:val="single" w:sz="18" w:space="0" w:color="auto"/>
              <w:bottom w:val="single" w:sz="4" w:space="0" w:color="auto"/>
              <w:right w:val="single" w:sz="18" w:space="0" w:color="auto"/>
            </w:tcBorders>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3,15</w:t>
            </w:r>
          </w:p>
        </w:tc>
      </w:tr>
      <w:tr w:rsidR="000A1E77" w:rsidRPr="00F35EB6" w:rsidTr="006418B7">
        <w:trPr>
          <w:trHeight w:val="222"/>
        </w:trPr>
        <w:tc>
          <w:tcPr>
            <w:tcW w:w="763" w:type="dxa"/>
            <w:tcBorders>
              <w:top w:val="single" w:sz="4" w:space="0" w:color="auto"/>
              <w:left w:val="single" w:sz="18" w:space="0" w:color="auto"/>
              <w:bottom w:val="single" w:sz="4" w:space="0" w:color="auto"/>
              <w:right w:val="single" w:sz="4" w:space="0" w:color="auto"/>
            </w:tcBorders>
          </w:tcPr>
          <w:p w:rsidR="000A1E77" w:rsidRPr="00F35EB6" w:rsidRDefault="000A1E77" w:rsidP="006418B7">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6)</w:t>
            </w:r>
          </w:p>
        </w:tc>
        <w:tc>
          <w:tcPr>
            <w:tcW w:w="528" w:type="dxa"/>
            <w:tcBorders>
              <w:top w:val="single" w:sz="4" w:space="0" w:color="auto"/>
              <w:left w:val="single" w:sz="4" w:space="0" w:color="auto"/>
              <w:bottom w:val="single" w:sz="4" w:space="0" w:color="auto"/>
              <w:right w:val="single" w:sz="18" w:space="0" w:color="auto"/>
            </w:tcBorders>
          </w:tcPr>
          <w:p w:rsidR="000A1E77" w:rsidRPr="009A42FC" w:rsidRDefault="000A1E77" w:rsidP="006418B7">
            <w:pPr>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w:t>
            </w:r>
          </w:p>
        </w:tc>
        <w:tc>
          <w:tcPr>
            <w:tcW w:w="3119" w:type="dxa"/>
            <w:gridSpan w:val="6"/>
            <w:tcBorders>
              <w:top w:val="single" w:sz="4" w:space="0" w:color="auto"/>
              <w:left w:val="single" w:sz="1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61,19</w:t>
            </w:r>
          </w:p>
        </w:tc>
        <w:tc>
          <w:tcPr>
            <w:tcW w:w="2409" w:type="dxa"/>
            <w:gridSpan w:val="4"/>
            <w:tcBorders>
              <w:top w:val="single" w:sz="4" w:space="0" w:color="auto"/>
              <w:left w:val="single" w:sz="1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35,65</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0A1E77"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3,15</w:t>
            </w:r>
          </w:p>
        </w:tc>
      </w:tr>
      <w:tr w:rsidR="000A1E77" w:rsidRPr="00F35EB6" w:rsidTr="006418B7">
        <w:trPr>
          <w:trHeight w:val="226"/>
        </w:trPr>
        <w:tc>
          <w:tcPr>
            <w:tcW w:w="763" w:type="dxa"/>
            <w:tcBorders>
              <w:top w:val="single" w:sz="4" w:space="0" w:color="auto"/>
              <w:left w:val="single" w:sz="18" w:space="0" w:color="auto"/>
              <w:bottom w:val="single" w:sz="18" w:space="0" w:color="auto"/>
              <w:right w:val="single" w:sz="4" w:space="0" w:color="auto"/>
            </w:tcBorders>
          </w:tcPr>
          <w:p w:rsidR="000A1E77" w:rsidRPr="00F35EB6" w:rsidRDefault="000A1E77" w:rsidP="006418B7">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7)</w:t>
            </w:r>
          </w:p>
        </w:tc>
        <w:tc>
          <w:tcPr>
            <w:tcW w:w="528" w:type="dxa"/>
            <w:tcBorders>
              <w:top w:val="single" w:sz="4" w:space="0" w:color="auto"/>
              <w:left w:val="single" w:sz="4" w:space="0" w:color="auto"/>
              <w:bottom w:val="single" w:sz="18" w:space="0" w:color="auto"/>
              <w:right w:val="single" w:sz="18" w:space="0" w:color="auto"/>
            </w:tcBorders>
          </w:tcPr>
          <w:p w:rsidR="000A1E77" w:rsidRPr="009A42FC" w:rsidRDefault="000A1E77" w:rsidP="006418B7">
            <w:pPr>
              <w:jc w:val="center"/>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w:t>
            </w:r>
          </w:p>
        </w:tc>
        <w:tc>
          <w:tcPr>
            <w:tcW w:w="1985" w:type="dxa"/>
            <w:gridSpan w:val="3"/>
            <w:tcBorders>
              <w:top w:val="single" w:sz="4" w:space="0" w:color="auto"/>
              <w:left w:val="single" w:sz="18" w:space="0" w:color="auto"/>
              <w:bottom w:val="single" w:sz="18" w:space="0" w:color="auto"/>
              <w:right w:val="single" w:sz="1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sidRPr="00AC6AA5">
              <w:rPr>
                <w:rFonts w:ascii="Times New Roman" w:eastAsia="Times New Roman" w:hAnsi="Times New Roman" w:cs="Times New Roman"/>
                <w:b/>
                <w:bCs/>
                <w:color w:val="000000"/>
                <w:sz w:val="16"/>
                <w:szCs w:val="16"/>
                <w:lang w:eastAsia="hu-HU"/>
              </w:rPr>
              <w:t>51,73</w:t>
            </w:r>
          </w:p>
        </w:tc>
        <w:tc>
          <w:tcPr>
            <w:tcW w:w="3543" w:type="dxa"/>
            <w:gridSpan w:val="7"/>
            <w:tcBorders>
              <w:top w:val="single" w:sz="4" w:space="0" w:color="auto"/>
              <w:left w:val="single" w:sz="18" w:space="0" w:color="auto"/>
              <w:bottom w:val="single" w:sz="18" w:space="0" w:color="auto"/>
              <w:right w:val="single" w:sz="1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45,11</w:t>
            </w:r>
          </w:p>
        </w:tc>
        <w:tc>
          <w:tcPr>
            <w:tcW w:w="1276" w:type="dxa"/>
            <w:gridSpan w:val="3"/>
            <w:tcBorders>
              <w:top w:val="single" w:sz="4" w:space="0" w:color="auto"/>
              <w:left w:val="single" w:sz="18" w:space="0" w:color="auto"/>
              <w:bottom w:val="single" w:sz="18" w:space="0" w:color="auto"/>
              <w:right w:val="single" w:sz="18" w:space="0" w:color="auto"/>
            </w:tcBorders>
            <w:shd w:val="clear" w:color="auto" w:fill="auto"/>
          </w:tcPr>
          <w:p w:rsidR="000A1E77" w:rsidRPr="00877E72" w:rsidRDefault="000A1E77" w:rsidP="006418B7">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3,15</w:t>
            </w:r>
          </w:p>
        </w:tc>
      </w:tr>
    </w:tbl>
    <w:p w:rsidR="007E42E0" w:rsidRPr="007E42E0" w:rsidRDefault="007E42E0" w:rsidP="007E42E0">
      <w:pPr>
        <w:autoSpaceDE w:val="0"/>
        <w:autoSpaceDN w:val="0"/>
        <w:adjustRightInd w:val="0"/>
        <w:rPr>
          <w:rFonts w:ascii="Times New Roman" w:hAnsi="Times New Roman" w:cs="Times New Roman"/>
          <w:b/>
        </w:rPr>
      </w:pPr>
    </w:p>
    <w:p w:rsidR="007E42E0" w:rsidRPr="00C83AE4" w:rsidRDefault="007E42E0" w:rsidP="007E42E0">
      <w:pPr>
        <w:autoSpaceDE w:val="0"/>
        <w:autoSpaceDN w:val="0"/>
        <w:adjustRightInd w:val="0"/>
        <w:rPr>
          <w:rFonts w:ascii="Times New Roman" w:hAnsi="Times New Roman" w:cs="Times New Roman"/>
          <w:b/>
        </w:rPr>
      </w:pPr>
      <w:r w:rsidRPr="00C83AE4">
        <w:rPr>
          <w:rFonts w:ascii="Times New Roman" w:hAnsi="Times New Roman" w:cs="Times New Roman"/>
          <w:b/>
        </w:rPr>
        <w:t>Magyarázat:</w:t>
      </w:r>
      <w:r w:rsidR="00A816CD" w:rsidRPr="00C83AE4">
        <w:rPr>
          <w:rFonts w:ascii="Times New Roman" w:hAnsi="Times New Roman" w:cs="Times New Roman"/>
          <w:b/>
        </w:rPr>
        <w:t xml:space="preserve"> a táblázatokban az „elutasításokat”</w:t>
      </w:r>
      <w:r w:rsidR="00705668" w:rsidRPr="00C83AE4">
        <w:rPr>
          <w:rFonts w:ascii="Times New Roman" w:hAnsi="Times New Roman" w:cs="Times New Roman"/>
          <w:b/>
        </w:rPr>
        <w:t xml:space="preserve"> (I) a</w:t>
      </w:r>
      <w:r w:rsidR="003204BD" w:rsidRPr="00C83AE4">
        <w:rPr>
          <w:rFonts w:ascii="Times New Roman" w:hAnsi="Times New Roman" w:cs="Times New Roman"/>
          <w:b/>
        </w:rPr>
        <w:t>z egyéb döntéseknél</w:t>
      </w:r>
      <w:r w:rsidR="00705668" w:rsidRPr="00C83AE4">
        <w:rPr>
          <w:rFonts w:ascii="Times New Roman" w:hAnsi="Times New Roman" w:cs="Times New Roman"/>
          <w:b/>
        </w:rPr>
        <w:t xml:space="preserve"> szerepeltettük!</w:t>
      </w:r>
    </w:p>
    <w:p w:rsidR="00CB4389" w:rsidRPr="000A1E77" w:rsidRDefault="00CB4389" w:rsidP="007E42E0">
      <w:pPr>
        <w:autoSpaceDE w:val="0"/>
        <w:autoSpaceDN w:val="0"/>
        <w:adjustRightInd w:val="0"/>
        <w:rPr>
          <w:rFonts w:ascii="Times New Roman" w:hAnsi="Times New Roman" w:cs="Times New Roman"/>
          <w:b/>
          <w:sz w:val="22"/>
          <w:szCs w:val="22"/>
        </w:rPr>
      </w:pPr>
    </w:p>
    <w:p w:rsidR="007E42E0" w:rsidRPr="00920ADB" w:rsidRDefault="007E42E0" w:rsidP="007E42E0">
      <w:pPr>
        <w:numPr>
          <w:ilvl w:val="0"/>
          <w:numId w:val="2"/>
        </w:numPr>
        <w:autoSpaceDE w:val="0"/>
        <w:autoSpaceDN w:val="0"/>
        <w:adjustRightInd w:val="0"/>
        <w:contextualSpacing/>
        <w:rPr>
          <w:rFonts w:ascii="Times New Roman" w:hAnsi="Times New Roman" w:cs="Times New Roman"/>
          <w:sz w:val="20"/>
          <w:szCs w:val="20"/>
        </w:rPr>
      </w:pPr>
      <w:r w:rsidRPr="00920ADB">
        <w:rPr>
          <w:rFonts w:ascii="Times New Roman" w:hAnsi="Times New Roman" w:cs="Times New Roman"/>
          <w:b/>
          <w:sz w:val="20"/>
          <w:szCs w:val="20"/>
        </w:rPr>
        <w:t>az egyes döntési „típusok” a teljes befejezések arányában (A – K)</w:t>
      </w:r>
    </w:p>
    <w:p w:rsidR="007E42E0" w:rsidRPr="007E42E0" w:rsidRDefault="007E42E0" w:rsidP="007E42E0">
      <w:pPr>
        <w:numPr>
          <w:ilvl w:val="0"/>
          <w:numId w:val="2"/>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határozatok [</w:t>
      </w:r>
      <w:r w:rsidRPr="007E42E0">
        <w:rPr>
          <w:rFonts w:ascii="Times New Roman" w:hAnsi="Times New Roman" w:cs="Times New Roman"/>
          <w:i/>
          <w:sz w:val="20"/>
          <w:szCs w:val="20"/>
        </w:rPr>
        <w:t>30. § (1) és 32. § a) pont – (</w:t>
      </w:r>
      <w:r w:rsidRPr="007E42E0">
        <w:rPr>
          <w:rFonts w:ascii="Times New Roman" w:hAnsi="Times New Roman" w:cs="Times New Roman"/>
          <w:b/>
          <w:sz w:val="20"/>
          <w:szCs w:val="20"/>
        </w:rPr>
        <w:t>A és B) ] és más összevonható kategóriák [</w:t>
      </w:r>
      <w:r w:rsidRPr="007E42E0">
        <w:rPr>
          <w:rFonts w:ascii="Times New Roman" w:hAnsi="Times New Roman" w:cs="Times New Roman"/>
          <w:sz w:val="20"/>
          <w:szCs w:val="20"/>
        </w:rPr>
        <w:t xml:space="preserve">31. § (3) a) és b) pontjai, mint </w:t>
      </w:r>
      <w:r w:rsidRPr="007E42E0">
        <w:rPr>
          <w:rFonts w:ascii="Times New Roman" w:hAnsi="Times New Roman" w:cs="Times New Roman"/>
          <w:b/>
          <w:i/>
          <w:sz w:val="20"/>
          <w:szCs w:val="20"/>
        </w:rPr>
        <w:t>pozitív döntések</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 xml:space="preserve">(D – E); </w:t>
      </w:r>
      <w:r w:rsidRPr="007E42E0">
        <w:rPr>
          <w:rFonts w:ascii="Times New Roman" w:hAnsi="Times New Roman" w:cs="Times New Roman"/>
          <w:b/>
          <w:i/>
          <w:sz w:val="20"/>
          <w:szCs w:val="20"/>
        </w:rPr>
        <w:t xml:space="preserve">a fogyasztóra nézve negatív döntések: 31. § (3) </w:t>
      </w:r>
      <w:r w:rsidRPr="007E42E0">
        <w:rPr>
          <w:rFonts w:ascii="Times New Roman" w:hAnsi="Times New Roman" w:cs="Times New Roman"/>
          <w:i/>
          <w:sz w:val="20"/>
          <w:szCs w:val="20"/>
        </w:rPr>
        <w:t>c</w:t>
      </w:r>
      <w:r w:rsidRPr="007E42E0">
        <w:rPr>
          <w:rFonts w:ascii="Times New Roman" w:hAnsi="Times New Roman" w:cs="Times New Roman"/>
          <w:sz w:val="20"/>
          <w:szCs w:val="20"/>
        </w:rPr>
        <w:t>) és d) pontjai (</w:t>
      </w:r>
      <w:r w:rsidRPr="007E42E0">
        <w:rPr>
          <w:rFonts w:ascii="Times New Roman" w:hAnsi="Times New Roman" w:cs="Times New Roman"/>
          <w:b/>
          <w:sz w:val="20"/>
          <w:szCs w:val="20"/>
        </w:rPr>
        <w:t>F – G, H</w:t>
      </w:r>
      <w:r w:rsidRPr="007E42E0">
        <w:rPr>
          <w:rFonts w:ascii="Times New Roman" w:hAnsi="Times New Roman" w:cs="Times New Roman"/>
          <w:sz w:val="20"/>
          <w:szCs w:val="20"/>
        </w:rPr>
        <w:t xml:space="preserve"> ); , a 32/A § (I) ; illetve az áttételek </w:t>
      </w:r>
      <w:r w:rsidRPr="007E42E0">
        <w:rPr>
          <w:rFonts w:ascii="Times New Roman" w:hAnsi="Times New Roman" w:cs="Times New Roman"/>
          <w:b/>
          <w:sz w:val="20"/>
          <w:szCs w:val="20"/>
        </w:rPr>
        <w:t>(J-K)]</w:t>
      </w:r>
    </w:p>
    <w:p w:rsidR="007E42E0" w:rsidRPr="007E42E0" w:rsidRDefault="007E42E0" w:rsidP="007E42E0">
      <w:pPr>
        <w:numPr>
          <w:ilvl w:val="0"/>
          <w:numId w:val="2"/>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a 2) sor + a 31. § (3) bekezdése alapján történt megszüntetések összevonása (D-G) ,</w:t>
      </w:r>
    </w:p>
    <w:p w:rsidR="007E42E0" w:rsidRPr="007E42E0" w:rsidRDefault="007E42E0" w:rsidP="007E42E0">
      <w:pPr>
        <w:numPr>
          <w:ilvl w:val="0"/>
          <w:numId w:val="2"/>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érdemi – pozit</w:t>
      </w:r>
      <w:r w:rsidR="00920ADB">
        <w:rPr>
          <w:rFonts w:ascii="Times New Roman" w:hAnsi="Times New Roman" w:cs="Times New Roman"/>
          <w:b/>
          <w:sz w:val="20"/>
          <w:szCs w:val="20"/>
        </w:rPr>
        <w:t>í</w:t>
      </w:r>
      <w:r w:rsidRPr="007E42E0">
        <w:rPr>
          <w:rFonts w:ascii="Times New Roman" w:hAnsi="Times New Roman" w:cs="Times New Roman"/>
          <w:b/>
          <w:sz w:val="20"/>
          <w:szCs w:val="20"/>
        </w:rPr>
        <w:t>v – döntések (egyezség, kötelezés, ajánlás (A-C)), érdemi, pozitív megszüntetések [31. § (3) a) és b) pontjai (D-E) )];  megszüntetések (F-H) , elutasítás (I) , áttétel (J-K);</w:t>
      </w:r>
    </w:p>
    <w:p w:rsidR="007E42E0" w:rsidRPr="007E42E0" w:rsidRDefault="007E42E0" w:rsidP="007E42E0">
      <w:pPr>
        <w:numPr>
          <w:ilvl w:val="0"/>
          <w:numId w:val="2"/>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érdemi döntések</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A-C</w:t>
      </w:r>
      <w:r w:rsidRPr="007E42E0">
        <w:rPr>
          <w:rFonts w:ascii="Times New Roman" w:hAnsi="Times New Roman" w:cs="Times New Roman"/>
          <w:sz w:val="20"/>
          <w:szCs w:val="20"/>
        </w:rPr>
        <w:t xml:space="preserve">); megszüntetések  </w:t>
      </w:r>
      <w:r w:rsidRPr="007E42E0">
        <w:rPr>
          <w:rFonts w:ascii="Times New Roman" w:hAnsi="Times New Roman" w:cs="Times New Roman"/>
          <w:b/>
          <w:sz w:val="20"/>
          <w:szCs w:val="20"/>
        </w:rPr>
        <w:t>(D-H)</w:t>
      </w:r>
      <w:r w:rsidRPr="007E42E0">
        <w:rPr>
          <w:rFonts w:ascii="Times New Roman" w:hAnsi="Times New Roman" w:cs="Times New Roman"/>
          <w:sz w:val="20"/>
          <w:szCs w:val="20"/>
        </w:rPr>
        <w:t xml:space="preserve"> összesen; elutasítás és áttétel </w:t>
      </w:r>
      <w:r w:rsidRPr="007E42E0">
        <w:rPr>
          <w:rFonts w:ascii="Times New Roman" w:hAnsi="Times New Roman" w:cs="Times New Roman"/>
          <w:b/>
          <w:sz w:val="20"/>
          <w:szCs w:val="20"/>
        </w:rPr>
        <w:t>(I, és J-K)</w:t>
      </w:r>
    </w:p>
    <w:p w:rsidR="007E42E0" w:rsidRPr="007E42E0" w:rsidRDefault="007E42E0" w:rsidP="007E42E0">
      <w:pPr>
        <w:numPr>
          <w:ilvl w:val="0"/>
          <w:numId w:val="2"/>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Fogyasztó szempontjából pozitív</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(A – E),</w:t>
      </w:r>
      <w:r w:rsidRPr="007E42E0">
        <w:rPr>
          <w:rFonts w:ascii="Times New Roman" w:hAnsi="Times New Roman" w:cs="Times New Roman"/>
          <w:sz w:val="20"/>
          <w:szCs w:val="20"/>
        </w:rPr>
        <w:t xml:space="preserve"> illetve </w:t>
      </w:r>
      <w:r w:rsidRPr="007E42E0">
        <w:rPr>
          <w:rFonts w:ascii="Times New Roman" w:hAnsi="Times New Roman" w:cs="Times New Roman"/>
          <w:b/>
          <w:sz w:val="20"/>
          <w:szCs w:val="20"/>
        </w:rPr>
        <w:t>negatív</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(F-I)</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döntések</w:t>
      </w:r>
    </w:p>
    <w:p w:rsidR="007E42E0" w:rsidRPr="007E42E0" w:rsidRDefault="007E42E0" w:rsidP="007E42E0">
      <w:pPr>
        <w:numPr>
          <w:ilvl w:val="0"/>
          <w:numId w:val="2"/>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Érdemi döntések (A-C), megszüntetés (D-I) és áttétel (J-K).</w:t>
      </w:r>
    </w:p>
    <w:p w:rsidR="000A1E77" w:rsidRDefault="000A1E77" w:rsidP="007E42E0">
      <w:pPr>
        <w:autoSpaceDE w:val="0"/>
        <w:autoSpaceDN w:val="0"/>
        <w:adjustRightInd w:val="0"/>
        <w:rPr>
          <w:rFonts w:ascii="Times New Roman" w:hAnsi="Times New Roman" w:cs="Times New Roman"/>
          <w:b/>
        </w:rPr>
      </w:pPr>
    </w:p>
    <w:p w:rsidR="005429CB" w:rsidRDefault="00992E16" w:rsidP="007E42E0">
      <w:pPr>
        <w:autoSpaceDE w:val="0"/>
        <w:autoSpaceDN w:val="0"/>
        <w:adjustRightInd w:val="0"/>
        <w:rPr>
          <w:rFonts w:ascii="Times New Roman" w:hAnsi="Times New Roman" w:cs="Times New Roman"/>
          <w:b/>
        </w:rPr>
      </w:pPr>
      <w:r>
        <w:rPr>
          <w:rFonts w:ascii="Times New Roman" w:hAnsi="Times New Roman" w:cs="Times New Roman"/>
          <w:b/>
        </w:rPr>
        <w:t>Az átadott ügyek nélküli táblázat:</w:t>
      </w:r>
    </w:p>
    <w:p w:rsidR="00CB4389" w:rsidRPr="007E42E0" w:rsidRDefault="00CB4389" w:rsidP="007E42E0">
      <w:pPr>
        <w:autoSpaceDE w:val="0"/>
        <w:autoSpaceDN w:val="0"/>
        <w:adjustRightInd w:val="0"/>
        <w:rPr>
          <w:rFonts w:ascii="Times New Roman" w:hAnsi="Times New Roman" w:cs="Times New Roman"/>
          <w:b/>
        </w:rPr>
      </w:pPr>
    </w:p>
    <w:tbl>
      <w:tblPr>
        <w:tblW w:w="7812" w:type="dxa"/>
        <w:tblInd w:w="630" w:type="dxa"/>
        <w:tblLayout w:type="fixed"/>
        <w:tblCellMar>
          <w:left w:w="70" w:type="dxa"/>
          <w:right w:w="70" w:type="dxa"/>
        </w:tblCellMar>
        <w:tblLook w:val="04A0" w:firstRow="1" w:lastRow="0" w:firstColumn="1" w:lastColumn="0" w:noHBand="0" w:noVBand="1"/>
      </w:tblPr>
      <w:tblGrid>
        <w:gridCol w:w="763"/>
        <w:gridCol w:w="528"/>
        <w:gridCol w:w="709"/>
        <w:gridCol w:w="709"/>
        <w:gridCol w:w="708"/>
        <w:gridCol w:w="567"/>
        <w:gridCol w:w="142"/>
        <w:gridCol w:w="567"/>
        <w:gridCol w:w="709"/>
        <w:gridCol w:w="709"/>
        <w:gridCol w:w="850"/>
        <w:gridCol w:w="851"/>
      </w:tblGrid>
      <w:tr w:rsidR="00992E16" w:rsidRPr="007E42E0" w:rsidTr="000A1E77">
        <w:trPr>
          <w:trHeight w:val="229"/>
        </w:trPr>
        <w:tc>
          <w:tcPr>
            <w:tcW w:w="763" w:type="dxa"/>
            <w:vMerge w:val="restart"/>
            <w:tcBorders>
              <w:top w:val="single" w:sz="18" w:space="0" w:color="000000"/>
              <w:left w:val="single" w:sz="18" w:space="0" w:color="auto"/>
              <w:right w:val="single" w:sz="8" w:space="0" w:color="000000"/>
            </w:tcBorders>
          </w:tcPr>
          <w:p w:rsidR="00992E16" w:rsidRPr="00F73A3B" w:rsidRDefault="00992E16" w:rsidP="00002898">
            <w:pPr>
              <w:autoSpaceDE w:val="0"/>
              <w:autoSpaceDN w:val="0"/>
              <w:adjustRightInd w:val="0"/>
              <w:rPr>
                <w:rFonts w:ascii="Times New Roman" w:hAnsi="Times New Roman" w:cs="Times New Roman"/>
                <w:b/>
                <w:bCs/>
                <w:sz w:val="14"/>
                <w:szCs w:val="16"/>
              </w:rPr>
            </w:pPr>
          </w:p>
          <w:p w:rsidR="00992E16" w:rsidRPr="00F73A3B" w:rsidRDefault="00992E16" w:rsidP="00002898">
            <w:pPr>
              <w:autoSpaceDE w:val="0"/>
              <w:autoSpaceDN w:val="0"/>
              <w:adjustRightInd w:val="0"/>
              <w:rPr>
                <w:rFonts w:ascii="Times New Roman" w:hAnsi="Times New Roman" w:cs="Times New Roman"/>
                <w:b/>
                <w:bCs/>
                <w:sz w:val="14"/>
                <w:szCs w:val="16"/>
              </w:rPr>
            </w:pPr>
          </w:p>
          <w:p w:rsidR="00992E16" w:rsidRPr="00F73A3B" w:rsidRDefault="00992E16" w:rsidP="00002898">
            <w:pPr>
              <w:autoSpaceDE w:val="0"/>
              <w:autoSpaceDN w:val="0"/>
              <w:adjustRightInd w:val="0"/>
              <w:rPr>
                <w:rFonts w:ascii="Times New Roman" w:hAnsi="Times New Roman" w:cs="Times New Roman"/>
                <w:b/>
                <w:bCs/>
                <w:sz w:val="14"/>
                <w:szCs w:val="16"/>
              </w:rPr>
            </w:pPr>
          </w:p>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2015.</w:t>
            </w:r>
          </w:p>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év</w:t>
            </w:r>
          </w:p>
        </w:tc>
        <w:tc>
          <w:tcPr>
            <w:tcW w:w="528" w:type="dxa"/>
            <w:vMerge w:val="restart"/>
            <w:tcBorders>
              <w:top w:val="single" w:sz="18" w:space="0" w:color="000000"/>
              <w:left w:val="single" w:sz="8" w:space="0" w:color="000000"/>
              <w:right w:val="single" w:sz="18" w:space="0" w:color="000000"/>
            </w:tcBorders>
          </w:tcPr>
          <w:p w:rsidR="00992E16" w:rsidRPr="00F73A3B" w:rsidRDefault="00992E16" w:rsidP="00002898">
            <w:pPr>
              <w:autoSpaceDE w:val="0"/>
              <w:autoSpaceDN w:val="0"/>
              <w:adjustRightInd w:val="0"/>
              <w:rPr>
                <w:rFonts w:ascii="Times New Roman" w:hAnsi="Times New Roman" w:cs="Times New Roman"/>
                <w:b/>
                <w:bCs/>
                <w:sz w:val="14"/>
                <w:szCs w:val="16"/>
              </w:rPr>
            </w:pPr>
          </w:p>
          <w:p w:rsidR="00992E16" w:rsidRPr="00F73A3B" w:rsidRDefault="00992E16" w:rsidP="00002898">
            <w:pPr>
              <w:autoSpaceDE w:val="0"/>
              <w:autoSpaceDN w:val="0"/>
              <w:adjustRightInd w:val="0"/>
              <w:rPr>
                <w:rFonts w:ascii="Times New Roman" w:hAnsi="Times New Roman" w:cs="Times New Roman"/>
                <w:b/>
                <w:bCs/>
                <w:sz w:val="14"/>
                <w:szCs w:val="16"/>
              </w:rPr>
            </w:pPr>
          </w:p>
          <w:p w:rsidR="00992E16" w:rsidRPr="00F73A3B" w:rsidRDefault="00992E16" w:rsidP="00002898">
            <w:pPr>
              <w:autoSpaceDE w:val="0"/>
              <w:autoSpaceDN w:val="0"/>
              <w:adjustRightInd w:val="0"/>
              <w:rPr>
                <w:rFonts w:ascii="Times New Roman" w:hAnsi="Times New Roman" w:cs="Times New Roman"/>
                <w:b/>
                <w:bCs/>
                <w:sz w:val="14"/>
                <w:szCs w:val="16"/>
              </w:rPr>
            </w:pPr>
          </w:p>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ügy/</w:t>
            </w:r>
          </w:p>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w:t>
            </w:r>
          </w:p>
        </w:tc>
        <w:tc>
          <w:tcPr>
            <w:tcW w:w="6521" w:type="dxa"/>
            <w:gridSpan w:val="10"/>
            <w:tcBorders>
              <w:top w:val="single" w:sz="18" w:space="0" w:color="000000"/>
              <w:left w:val="single" w:sz="18" w:space="0" w:color="000000"/>
              <w:bottom w:val="single" w:sz="18" w:space="0" w:color="000000"/>
              <w:right w:val="single" w:sz="18" w:space="0" w:color="auto"/>
            </w:tcBorders>
            <w:shd w:val="clear" w:color="auto" w:fill="auto"/>
            <w:noWrap/>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az ügy kimenetele</w:t>
            </w:r>
          </w:p>
        </w:tc>
      </w:tr>
      <w:tr w:rsidR="00992E16" w:rsidRPr="007E42E0" w:rsidTr="000A1E77">
        <w:trPr>
          <w:trHeight w:val="234"/>
        </w:trPr>
        <w:tc>
          <w:tcPr>
            <w:tcW w:w="763" w:type="dxa"/>
            <w:vMerge/>
            <w:tcBorders>
              <w:left w:val="single" w:sz="18" w:space="0" w:color="auto"/>
              <w:right w:val="single" w:sz="8" w:space="0" w:color="000000"/>
            </w:tcBorders>
          </w:tcPr>
          <w:p w:rsidR="00992E16" w:rsidRPr="00F73A3B" w:rsidRDefault="00992E16" w:rsidP="00002898">
            <w:pPr>
              <w:autoSpaceDE w:val="0"/>
              <w:autoSpaceDN w:val="0"/>
              <w:adjustRightInd w:val="0"/>
              <w:rPr>
                <w:rFonts w:ascii="Times New Roman" w:hAnsi="Times New Roman" w:cs="Times New Roman"/>
                <w:b/>
                <w:bCs/>
                <w:sz w:val="14"/>
                <w:szCs w:val="16"/>
              </w:rPr>
            </w:pPr>
          </w:p>
        </w:tc>
        <w:tc>
          <w:tcPr>
            <w:tcW w:w="528" w:type="dxa"/>
            <w:vMerge/>
            <w:tcBorders>
              <w:left w:val="single" w:sz="8" w:space="0" w:color="000000"/>
              <w:right w:val="single" w:sz="18" w:space="0" w:color="000000"/>
            </w:tcBorders>
          </w:tcPr>
          <w:p w:rsidR="00992E16" w:rsidRPr="00F73A3B" w:rsidRDefault="00992E16" w:rsidP="00002898">
            <w:pPr>
              <w:autoSpaceDE w:val="0"/>
              <w:autoSpaceDN w:val="0"/>
              <w:adjustRightInd w:val="0"/>
              <w:rPr>
                <w:rFonts w:ascii="Times New Roman" w:hAnsi="Times New Roman" w:cs="Times New Roman"/>
                <w:b/>
                <w:bCs/>
                <w:sz w:val="14"/>
                <w:szCs w:val="16"/>
              </w:rPr>
            </w:pPr>
          </w:p>
        </w:tc>
        <w:tc>
          <w:tcPr>
            <w:tcW w:w="709" w:type="dxa"/>
            <w:tcBorders>
              <w:top w:val="single" w:sz="18" w:space="0" w:color="000000"/>
              <w:left w:val="single" w:sz="18" w:space="0" w:color="000000"/>
              <w:bottom w:val="single" w:sz="18" w:space="0" w:color="000000"/>
              <w:right w:val="single" w:sz="8" w:space="0" w:color="000000"/>
            </w:tcBorders>
            <w:shd w:val="clear" w:color="auto" w:fill="auto"/>
            <w:noWrap/>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A</w:t>
            </w:r>
          </w:p>
        </w:tc>
        <w:tc>
          <w:tcPr>
            <w:tcW w:w="709" w:type="dxa"/>
            <w:tcBorders>
              <w:top w:val="single" w:sz="18" w:space="0" w:color="000000"/>
              <w:left w:val="nil"/>
              <w:bottom w:val="single" w:sz="18" w:space="0" w:color="000000"/>
              <w:right w:val="single" w:sz="8" w:space="0" w:color="000000"/>
            </w:tcBorders>
            <w:shd w:val="clear" w:color="auto" w:fill="auto"/>
            <w:noWrap/>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B</w:t>
            </w:r>
          </w:p>
        </w:tc>
        <w:tc>
          <w:tcPr>
            <w:tcW w:w="708" w:type="dxa"/>
            <w:tcBorders>
              <w:top w:val="single" w:sz="18" w:space="0" w:color="000000"/>
              <w:left w:val="nil"/>
              <w:bottom w:val="single" w:sz="18" w:space="0" w:color="000000"/>
              <w:right w:val="single" w:sz="8" w:space="0" w:color="000000"/>
            </w:tcBorders>
            <w:shd w:val="clear" w:color="auto" w:fill="auto"/>
            <w:noWrap/>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C</w:t>
            </w:r>
          </w:p>
        </w:tc>
        <w:tc>
          <w:tcPr>
            <w:tcW w:w="567" w:type="dxa"/>
            <w:tcBorders>
              <w:top w:val="single" w:sz="18" w:space="0" w:color="000000"/>
              <w:left w:val="single" w:sz="8" w:space="0" w:color="000000"/>
              <w:bottom w:val="single" w:sz="18" w:space="0" w:color="000000"/>
              <w:right w:val="single" w:sz="8" w:space="0" w:color="000000"/>
            </w:tcBorders>
            <w:shd w:val="clear" w:color="auto" w:fill="auto"/>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D</w:t>
            </w:r>
          </w:p>
        </w:tc>
        <w:tc>
          <w:tcPr>
            <w:tcW w:w="709" w:type="dxa"/>
            <w:gridSpan w:val="2"/>
            <w:tcBorders>
              <w:top w:val="single" w:sz="18" w:space="0" w:color="000000"/>
              <w:left w:val="single" w:sz="8" w:space="0" w:color="000000"/>
              <w:bottom w:val="single" w:sz="18" w:space="0" w:color="000000"/>
              <w:right w:val="single" w:sz="8" w:space="0" w:color="000000"/>
            </w:tcBorders>
            <w:shd w:val="clear" w:color="auto" w:fill="auto"/>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E</w:t>
            </w:r>
          </w:p>
        </w:tc>
        <w:tc>
          <w:tcPr>
            <w:tcW w:w="709" w:type="dxa"/>
            <w:tcBorders>
              <w:top w:val="single" w:sz="18" w:space="0" w:color="000000"/>
              <w:left w:val="single" w:sz="8" w:space="0" w:color="000000"/>
              <w:bottom w:val="single" w:sz="18" w:space="0" w:color="000000"/>
              <w:right w:val="single" w:sz="8" w:space="0" w:color="000000"/>
            </w:tcBorders>
            <w:shd w:val="clear" w:color="auto" w:fill="auto"/>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F</w:t>
            </w:r>
          </w:p>
        </w:tc>
        <w:tc>
          <w:tcPr>
            <w:tcW w:w="709" w:type="dxa"/>
            <w:tcBorders>
              <w:top w:val="single" w:sz="18" w:space="0" w:color="000000"/>
              <w:left w:val="single" w:sz="8" w:space="0" w:color="000000"/>
              <w:bottom w:val="single" w:sz="18" w:space="0" w:color="000000"/>
              <w:right w:val="single" w:sz="8" w:space="0" w:color="000000"/>
            </w:tcBorders>
            <w:shd w:val="clear" w:color="auto" w:fill="auto"/>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G</w:t>
            </w:r>
          </w:p>
        </w:tc>
        <w:tc>
          <w:tcPr>
            <w:tcW w:w="850" w:type="dxa"/>
            <w:tcBorders>
              <w:top w:val="single" w:sz="18" w:space="0" w:color="000000"/>
              <w:left w:val="single" w:sz="8" w:space="0" w:color="000000"/>
              <w:bottom w:val="single" w:sz="18" w:space="0" w:color="000000"/>
              <w:right w:val="single" w:sz="8" w:space="0" w:color="000000"/>
            </w:tcBorders>
            <w:shd w:val="clear" w:color="auto" w:fill="auto"/>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H</w:t>
            </w:r>
          </w:p>
        </w:tc>
        <w:tc>
          <w:tcPr>
            <w:tcW w:w="851" w:type="dxa"/>
            <w:tcBorders>
              <w:top w:val="single" w:sz="18" w:space="0" w:color="000000"/>
              <w:left w:val="nil"/>
              <w:bottom w:val="single" w:sz="18" w:space="0" w:color="000000"/>
              <w:right w:val="single" w:sz="18" w:space="0" w:color="auto"/>
            </w:tcBorders>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I</w:t>
            </w:r>
          </w:p>
        </w:tc>
      </w:tr>
      <w:tr w:rsidR="00992E16" w:rsidRPr="007E42E0" w:rsidTr="00992E16">
        <w:trPr>
          <w:trHeight w:val="342"/>
        </w:trPr>
        <w:tc>
          <w:tcPr>
            <w:tcW w:w="763" w:type="dxa"/>
            <w:vMerge/>
            <w:tcBorders>
              <w:left w:val="single" w:sz="18" w:space="0" w:color="auto"/>
              <w:right w:val="single" w:sz="8" w:space="0" w:color="000000"/>
            </w:tcBorders>
          </w:tcPr>
          <w:p w:rsidR="00992E16" w:rsidRPr="00F73A3B" w:rsidRDefault="00992E16" w:rsidP="00002898">
            <w:pPr>
              <w:autoSpaceDE w:val="0"/>
              <w:autoSpaceDN w:val="0"/>
              <w:adjustRightInd w:val="0"/>
              <w:rPr>
                <w:rFonts w:ascii="Times New Roman" w:hAnsi="Times New Roman" w:cs="Times New Roman"/>
                <w:b/>
                <w:bCs/>
                <w:sz w:val="14"/>
                <w:szCs w:val="16"/>
              </w:rPr>
            </w:pPr>
          </w:p>
        </w:tc>
        <w:tc>
          <w:tcPr>
            <w:tcW w:w="528" w:type="dxa"/>
            <w:vMerge/>
            <w:tcBorders>
              <w:left w:val="single" w:sz="8" w:space="0" w:color="000000"/>
              <w:right w:val="single" w:sz="18" w:space="0" w:color="000000"/>
            </w:tcBorders>
          </w:tcPr>
          <w:p w:rsidR="00992E16" w:rsidRPr="00F73A3B" w:rsidRDefault="00992E16" w:rsidP="00002898">
            <w:pPr>
              <w:autoSpaceDE w:val="0"/>
              <w:autoSpaceDN w:val="0"/>
              <w:adjustRightInd w:val="0"/>
              <w:rPr>
                <w:rFonts w:ascii="Times New Roman" w:hAnsi="Times New Roman" w:cs="Times New Roman"/>
                <w:b/>
                <w:bCs/>
                <w:sz w:val="14"/>
                <w:szCs w:val="16"/>
              </w:rPr>
            </w:pPr>
          </w:p>
        </w:tc>
        <w:tc>
          <w:tcPr>
            <w:tcW w:w="709" w:type="dxa"/>
            <w:tcBorders>
              <w:top w:val="single" w:sz="18" w:space="0" w:color="000000"/>
              <w:left w:val="single" w:sz="18" w:space="0" w:color="000000"/>
              <w:bottom w:val="single" w:sz="8" w:space="0" w:color="000000"/>
              <w:right w:val="single" w:sz="8" w:space="0" w:color="000000"/>
            </w:tcBorders>
            <w:shd w:val="clear" w:color="auto" w:fill="auto"/>
            <w:noWrap/>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Egy.</w:t>
            </w:r>
          </w:p>
        </w:tc>
        <w:tc>
          <w:tcPr>
            <w:tcW w:w="709" w:type="dxa"/>
            <w:tcBorders>
              <w:top w:val="single" w:sz="18" w:space="0" w:color="000000"/>
              <w:left w:val="nil"/>
              <w:bottom w:val="single" w:sz="8" w:space="0" w:color="000000"/>
              <w:right w:val="single" w:sz="8" w:space="0" w:color="000000"/>
            </w:tcBorders>
            <w:shd w:val="clear" w:color="auto" w:fill="auto"/>
            <w:noWrap/>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Köt</w:t>
            </w:r>
          </w:p>
        </w:tc>
        <w:tc>
          <w:tcPr>
            <w:tcW w:w="708" w:type="dxa"/>
            <w:tcBorders>
              <w:top w:val="single" w:sz="18" w:space="0" w:color="000000"/>
              <w:left w:val="nil"/>
              <w:bottom w:val="single" w:sz="8" w:space="0" w:color="000000"/>
              <w:right w:val="single" w:sz="18" w:space="0" w:color="000000"/>
            </w:tcBorders>
            <w:shd w:val="clear" w:color="auto" w:fill="auto"/>
            <w:noWrap/>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Ajá</w:t>
            </w:r>
          </w:p>
        </w:tc>
        <w:tc>
          <w:tcPr>
            <w:tcW w:w="2694" w:type="dxa"/>
            <w:gridSpan w:val="5"/>
            <w:tcBorders>
              <w:top w:val="single" w:sz="18" w:space="0" w:color="000000"/>
              <w:left w:val="single" w:sz="18" w:space="0" w:color="000000"/>
              <w:bottom w:val="single" w:sz="8" w:space="0" w:color="000000"/>
              <w:right w:val="single" w:sz="18" w:space="0" w:color="000000"/>
            </w:tcBorders>
            <w:shd w:val="clear" w:color="auto" w:fill="auto"/>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Megszűntetés</w:t>
            </w:r>
          </w:p>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31. § (3)</w:t>
            </w:r>
          </w:p>
        </w:tc>
        <w:tc>
          <w:tcPr>
            <w:tcW w:w="1701" w:type="dxa"/>
            <w:gridSpan w:val="2"/>
            <w:tcBorders>
              <w:top w:val="single" w:sz="18" w:space="0" w:color="000000"/>
              <w:left w:val="single" w:sz="18" w:space="0" w:color="000000"/>
              <w:bottom w:val="single" w:sz="8" w:space="0" w:color="auto"/>
              <w:right w:val="single" w:sz="18" w:space="0" w:color="auto"/>
            </w:tcBorders>
            <w:shd w:val="clear" w:color="auto" w:fill="auto"/>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egyéb döntés</w:t>
            </w:r>
          </w:p>
        </w:tc>
      </w:tr>
      <w:tr w:rsidR="00992E16" w:rsidRPr="007E42E0" w:rsidTr="00992E16">
        <w:trPr>
          <w:trHeight w:val="386"/>
        </w:trPr>
        <w:tc>
          <w:tcPr>
            <w:tcW w:w="763" w:type="dxa"/>
            <w:vMerge/>
            <w:tcBorders>
              <w:left w:val="single" w:sz="18" w:space="0" w:color="auto"/>
              <w:bottom w:val="single" w:sz="18" w:space="0" w:color="auto"/>
              <w:right w:val="single" w:sz="8" w:space="0" w:color="000000"/>
            </w:tcBorders>
          </w:tcPr>
          <w:p w:rsidR="00992E16" w:rsidRPr="00F73A3B" w:rsidRDefault="00992E16" w:rsidP="00002898">
            <w:pPr>
              <w:autoSpaceDE w:val="0"/>
              <w:autoSpaceDN w:val="0"/>
              <w:adjustRightInd w:val="0"/>
              <w:rPr>
                <w:rFonts w:ascii="Times New Roman" w:hAnsi="Times New Roman" w:cs="Times New Roman"/>
                <w:b/>
                <w:bCs/>
                <w:sz w:val="14"/>
                <w:szCs w:val="16"/>
              </w:rPr>
            </w:pPr>
          </w:p>
        </w:tc>
        <w:tc>
          <w:tcPr>
            <w:tcW w:w="528" w:type="dxa"/>
            <w:vMerge/>
            <w:tcBorders>
              <w:left w:val="single" w:sz="8" w:space="0" w:color="000000"/>
              <w:bottom w:val="single" w:sz="18" w:space="0" w:color="auto"/>
              <w:right w:val="single" w:sz="18" w:space="0" w:color="000000"/>
            </w:tcBorders>
            <w:vAlign w:val="bottom"/>
          </w:tcPr>
          <w:p w:rsidR="00992E16" w:rsidRPr="00F73A3B" w:rsidRDefault="00992E16" w:rsidP="00002898">
            <w:pPr>
              <w:autoSpaceDE w:val="0"/>
              <w:autoSpaceDN w:val="0"/>
              <w:adjustRightInd w:val="0"/>
              <w:rPr>
                <w:rFonts w:ascii="Times New Roman" w:hAnsi="Times New Roman" w:cs="Times New Roman"/>
                <w:b/>
                <w:bCs/>
                <w:sz w:val="14"/>
                <w:szCs w:val="16"/>
              </w:rPr>
            </w:pPr>
          </w:p>
        </w:tc>
        <w:tc>
          <w:tcPr>
            <w:tcW w:w="709" w:type="dxa"/>
            <w:tcBorders>
              <w:top w:val="single" w:sz="8" w:space="0" w:color="000000"/>
              <w:left w:val="single" w:sz="18" w:space="0" w:color="000000"/>
              <w:bottom w:val="single" w:sz="18" w:space="0" w:color="auto"/>
              <w:right w:val="single" w:sz="8" w:space="0" w:color="000000"/>
            </w:tcBorders>
            <w:shd w:val="clear" w:color="auto" w:fill="auto"/>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30. § (1)</w:t>
            </w:r>
          </w:p>
        </w:tc>
        <w:tc>
          <w:tcPr>
            <w:tcW w:w="709" w:type="dxa"/>
            <w:tcBorders>
              <w:top w:val="single" w:sz="8" w:space="0" w:color="000000"/>
              <w:left w:val="nil"/>
              <w:bottom w:val="single" w:sz="18" w:space="0" w:color="auto"/>
              <w:right w:val="single" w:sz="8" w:space="0" w:color="000000"/>
            </w:tcBorders>
            <w:shd w:val="clear" w:color="auto" w:fill="auto"/>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32. §</w:t>
            </w:r>
          </w:p>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a)</w:t>
            </w:r>
          </w:p>
        </w:tc>
        <w:tc>
          <w:tcPr>
            <w:tcW w:w="708" w:type="dxa"/>
            <w:tcBorders>
              <w:top w:val="single" w:sz="8" w:space="0" w:color="000000"/>
              <w:left w:val="nil"/>
              <w:bottom w:val="single" w:sz="18" w:space="0" w:color="auto"/>
              <w:right w:val="single" w:sz="18" w:space="0" w:color="000000"/>
            </w:tcBorders>
            <w:shd w:val="clear" w:color="auto" w:fill="auto"/>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32.§</w:t>
            </w:r>
          </w:p>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b)</w:t>
            </w:r>
          </w:p>
        </w:tc>
        <w:tc>
          <w:tcPr>
            <w:tcW w:w="709" w:type="dxa"/>
            <w:gridSpan w:val="2"/>
            <w:tcBorders>
              <w:top w:val="nil"/>
              <w:left w:val="single" w:sz="18" w:space="0" w:color="000000"/>
              <w:bottom w:val="single" w:sz="18" w:space="0" w:color="auto"/>
              <w:right w:val="single" w:sz="8" w:space="0" w:color="000000"/>
            </w:tcBorders>
            <w:shd w:val="clear" w:color="auto" w:fill="auto"/>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a)</w:t>
            </w:r>
          </w:p>
        </w:tc>
        <w:tc>
          <w:tcPr>
            <w:tcW w:w="567" w:type="dxa"/>
            <w:tcBorders>
              <w:top w:val="nil"/>
              <w:left w:val="nil"/>
              <w:bottom w:val="single" w:sz="18" w:space="0" w:color="auto"/>
              <w:right w:val="single" w:sz="8" w:space="0" w:color="000000"/>
            </w:tcBorders>
            <w:shd w:val="clear" w:color="auto" w:fill="auto"/>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b)</w:t>
            </w:r>
          </w:p>
        </w:tc>
        <w:tc>
          <w:tcPr>
            <w:tcW w:w="709" w:type="dxa"/>
            <w:tcBorders>
              <w:top w:val="nil"/>
              <w:left w:val="nil"/>
              <w:bottom w:val="single" w:sz="18" w:space="0" w:color="auto"/>
              <w:right w:val="single" w:sz="8" w:space="0" w:color="000000"/>
            </w:tcBorders>
            <w:shd w:val="clear" w:color="auto" w:fill="auto"/>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c)</w:t>
            </w:r>
          </w:p>
        </w:tc>
        <w:tc>
          <w:tcPr>
            <w:tcW w:w="709" w:type="dxa"/>
            <w:tcBorders>
              <w:top w:val="nil"/>
              <w:left w:val="nil"/>
              <w:bottom w:val="single" w:sz="18" w:space="0" w:color="auto"/>
              <w:right w:val="single" w:sz="18" w:space="0" w:color="000000"/>
            </w:tcBorders>
            <w:shd w:val="clear" w:color="auto" w:fill="auto"/>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d)</w:t>
            </w:r>
          </w:p>
        </w:tc>
        <w:tc>
          <w:tcPr>
            <w:tcW w:w="850" w:type="dxa"/>
            <w:tcBorders>
              <w:left w:val="single" w:sz="18" w:space="0" w:color="000000"/>
              <w:bottom w:val="single" w:sz="18" w:space="0" w:color="auto"/>
              <w:right w:val="single" w:sz="8" w:space="0" w:color="000000"/>
            </w:tcBorders>
            <w:shd w:val="clear" w:color="auto" w:fill="auto"/>
            <w:hideMark/>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hiány</w:t>
            </w:r>
          </w:p>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29.§ (4)</w:t>
            </w:r>
          </w:p>
        </w:tc>
        <w:tc>
          <w:tcPr>
            <w:tcW w:w="851" w:type="dxa"/>
            <w:tcBorders>
              <w:top w:val="nil"/>
              <w:left w:val="nil"/>
              <w:bottom w:val="single" w:sz="18" w:space="0" w:color="auto"/>
              <w:right w:val="single" w:sz="18" w:space="0" w:color="auto"/>
            </w:tcBorders>
          </w:tcPr>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Elu .</w:t>
            </w:r>
          </w:p>
          <w:p w:rsidR="00992E16" w:rsidRPr="00F73A3B" w:rsidRDefault="00992E16" w:rsidP="00002898">
            <w:pPr>
              <w:autoSpaceDE w:val="0"/>
              <w:autoSpaceDN w:val="0"/>
              <w:adjustRightInd w:val="0"/>
              <w:jc w:val="center"/>
              <w:rPr>
                <w:rFonts w:ascii="Times New Roman" w:hAnsi="Times New Roman" w:cs="Times New Roman"/>
                <w:b/>
                <w:bCs/>
                <w:sz w:val="14"/>
                <w:szCs w:val="16"/>
              </w:rPr>
            </w:pPr>
            <w:r w:rsidRPr="00F73A3B">
              <w:rPr>
                <w:rFonts w:ascii="Times New Roman" w:hAnsi="Times New Roman" w:cs="Times New Roman"/>
                <w:b/>
                <w:bCs/>
                <w:sz w:val="14"/>
                <w:szCs w:val="16"/>
              </w:rPr>
              <w:t>32/A. §</w:t>
            </w:r>
          </w:p>
        </w:tc>
      </w:tr>
      <w:tr w:rsidR="00992E16" w:rsidRPr="007E42E0" w:rsidTr="00992E16">
        <w:trPr>
          <w:trHeight w:val="255"/>
        </w:trPr>
        <w:tc>
          <w:tcPr>
            <w:tcW w:w="763" w:type="dxa"/>
            <w:tcBorders>
              <w:top w:val="single" w:sz="18" w:space="0" w:color="auto"/>
              <w:left w:val="single" w:sz="18" w:space="0" w:color="auto"/>
              <w:bottom w:val="single" w:sz="18" w:space="0" w:color="auto"/>
              <w:right w:val="single" w:sz="4" w:space="0" w:color="000000"/>
            </w:tcBorders>
          </w:tcPr>
          <w:p w:rsidR="00992E16" w:rsidRPr="00F73A3B" w:rsidRDefault="00992E16" w:rsidP="00002898">
            <w:pPr>
              <w:jc w:val="center"/>
              <w:rPr>
                <w:rFonts w:ascii="Times New Roman" w:eastAsia="Times New Roman" w:hAnsi="Times New Roman" w:cs="Times New Roman"/>
                <w:b/>
                <w:bCs/>
                <w:sz w:val="14"/>
                <w:szCs w:val="20"/>
                <w:lang w:eastAsia="hu-HU"/>
              </w:rPr>
            </w:pPr>
          </w:p>
        </w:tc>
        <w:tc>
          <w:tcPr>
            <w:tcW w:w="528" w:type="dxa"/>
            <w:tcBorders>
              <w:top w:val="single" w:sz="18" w:space="0" w:color="auto"/>
              <w:left w:val="single" w:sz="4" w:space="0" w:color="000000"/>
              <w:bottom w:val="single" w:sz="18" w:space="0" w:color="auto"/>
              <w:right w:val="single" w:sz="18" w:space="0" w:color="000000"/>
            </w:tcBorders>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307</w:t>
            </w:r>
          </w:p>
        </w:tc>
        <w:tc>
          <w:tcPr>
            <w:tcW w:w="709" w:type="dxa"/>
            <w:tcBorders>
              <w:top w:val="single" w:sz="18" w:space="0" w:color="auto"/>
              <w:left w:val="single" w:sz="18" w:space="0" w:color="000000"/>
              <w:bottom w:val="single" w:sz="18" w:space="0" w:color="auto"/>
              <w:right w:val="single" w:sz="4" w:space="0" w:color="000000"/>
            </w:tcBorders>
            <w:shd w:val="clear" w:color="auto" w:fill="auto"/>
            <w:noWrap/>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34</w:t>
            </w:r>
          </w:p>
        </w:tc>
        <w:tc>
          <w:tcPr>
            <w:tcW w:w="709" w:type="dxa"/>
            <w:tcBorders>
              <w:top w:val="single" w:sz="18" w:space="0" w:color="auto"/>
              <w:left w:val="nil"/>
              <w:bottom w:val="single" w:sz="18" w:space="0" w:color="auto"/>
              <w:right w:val="single" w:sz="4" w:space="0" w:color="000000"/>
            </w:tcBorders>
            <w:shd w:val="clear" w:color="auto" w:fill="auto"/>
            <w:noWrap/>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10</w:t>
            </w:r>
          </w:p>
        </w:tc>
        <w:tc>
          <w:tcPr>
            <w:tcW w:w="708" w:type="dxa"/>
            <w:tcBorders>
              <w:top w:val="single" w:sz="18" w:space="0" w:color="auto"/>
              <w:left w:val="nil"/>
              <w:bottom w:val="single" w:sz="18" w:space="0" w:color="auto"/>
              <w:right w:val="single" w:sz="4" w:space="0" w:color="000000"/>
            </w:tcBorders>
            <w:shd w:val="clear" w:color="auto" w:fill="auto"/>
            <w:noWrap/>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120</w:t>
            </w:r>
          </w:p>
        </w:tc>
        <w:tc>
          <w:tcPr>
            <w:tcW w:w="709" w:type="dxa"/>
            <w:gridSpan w:val="2"/>
            <w:tcBorders>
              <w:top w:val="single" w:sz="18" w:space="0" w:color="auto"/>
              <w:left w:val="nil"/>
              <w:bottom w:val="single" w:sz="18" w:space="0" w:color="auto"/>
              <w:right w:val="single" w:sz="4" w:space="0" w:color="000000"/>
            </w:tcBorders>
            <w:shd w:val="clear" w:color="auto" w:fill="auto"/>
            <w:noWrap/>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15</w:t>
            </w:r>
          </w:p>
        </w:tc>
        <w:tc>
          <w:tcPr>
            <w:tcW w:w="567" w:type="dxa"/>
            <w:tcBorders>
              <w:top w:val="single" w:sz="18" w:space="0" w:color="auto"/>
              <w:left w:val="nil"/>
              <w:bottom w:val="single" w:sz="18" w:space="0" w:color="auto"/>
              <w:right w:val="single" w:sz="4" w:space="0" w:color="000000"/>
            </w:tcBorders>
            <w:shd w:val="clear" w:color="auto" w:fill="auto"/>
            <w:noWrap/>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15</w:t>
            </w:r>
          </w:p>
        </w:tc>
        <w:tc>
          <w:tcPr>
            <w:tcW w:w="709" w:type="dxa"/>
            <w:tcBorders>
              <w:top w:val="single" w:sz="18" w:space="0" w:color="auto"/>
              <w:left w:val="nil"/>
              <w:bottom w:val="single" w:sz="18" w:space="0" w:color="auto"/>
              <w:right w:val="single" w:sz="4" w:space="0" w:color="000000"/>
            </w:tcBorders>
            <w:shd w:val="clear" w:color="auto" w:fill="auto"/>
            <w:noWrap/>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52</w:t>
            </w:r>
          </w:p>
        </w:tc>
        <w:tc>
          <w:tcPr>
            <w:tcW w:w="709" w:type="dxa"/>
            <w:tcBorders>
              <w:top w:val="single" w:sz="18" w:space="0" w:color="auto"/>
              <w:left w:val="nil"/>
              <w:bottom w:val="single" w:sz="18" w:space="0" w:color="auto"/>
              <w:right w:val="single" w:sz="4" w:space="0" w:color="000000"/>
            </w:tcBorders>
            <w:shd w:val="clear" w:color="auto" w:fill="auto"/>
            <w:noWrap/>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51</w:t>
            </w:r>
          </w:p>
        </w:tc>
        <w:tc>
          <w:tcPr>
            <w:tcW w:w="850" w:type="dxa"/>
            <w:tcBorders>
              <w:top w:val="single" w:sz="18" w:space="0" w:color="auto"/>
              <w:left w:val="nil"/>
              <w:bottom w:val="single" w:sz="18" w:space="0" w:color="auto"/>
              <w:right w:val="single" w:sz="4" w:space="0" w:color="000000"/>
            </w:tcBorders>
            <w:shd w:val="clear" w:color="auto" w:fill="auto"/>
            <w:noWrap/>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5</w:t>
            </w:r>
          </w:p>
        </w:tc>
        <w:tc>
          <w:tcPr>
            <w:tcW w:w="851" w:type="dxa"/>
            <w:tcBorders>
              <w:top w:val="single" w:sz="18" w:space="0" w:color="auto"/>
              <w:left w:val="nil"/>
              <w:bottom w:val="single" w:sz="18" w:space="0" w:color="auto"/>
              <w:right w:val="single" w:sz="18" w:space="0" w:color="auto"/>
            </w:tcBorders>
            <w:vAlign w:val="bottom"/>
          </w:tcPr>
          <w:p w:rsidR="00992E16" w:rsidRPr="00F73A3B" w:rsidRDefault="00992E16" w:rsidP="00002898">
            <w:pPr>
              <w:jc w:val="center"/>
              <w:rPr>
                <w:rFonts w:ascii="Times New Roman" w:eastAsia="Times New Roman" w:hAnsi="Times New Roman" w:cs="Times New Roman"/>
                <w:b/>
                <w:bCs/>
                <w:sz w:val="14"/>
                <w:szCs w:val="20"/>
                <w:lang w:eastAsia="hu-HU"/>
              </w:rPr>
            </w:pPr>
            <w:r w:rsidRPr="00F73A3B">
              <w:rPr>
                <w:rFonts w:ascii="Times New Roman" w:eastAsia="Times New Roman" w:hAnsi="Times New Roman" w:cs="Times New Roman"/>
                <w:b/>
                <w:bCs/>
                <w:sz w:val="14"/>
                <w:szCs w:val="20"/>
                <w:lang w:eastAsia="hu-HU"/>
              </w:rPr>
              <w:t>5</w:t>
            </w:r>
          </w:p>
        </w:tc>
      </w:tr>
      <w:tr w:rsidR="00992E16" w:rsidRPr="007E42E0" w:rsidTr="00CB4389">
        <w:trPr>
          <w:trHeight w:val="255"/>
        </w:trPr>
        <w:tc>
          <w:tcPr>
            <w:tcW w:w="763" w:type="dxa"/>
            <w:tcBorders>
              <w:top w:val="single" w:sz="18" w:space="0" w:color="auto"/>
              <w:left w:val="single" w:sz="18" w:space="0" w:color="auto"/>
              <w:bottom w:val="single" w:sz="4" w:space="0" w:color="000000"/>
              <w:right w:val="single" w:sz="4" w:space="0" w:color="000000"/>
            </w:tcBorders>
          </w:tcPr>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w:t>
            </w:r>
          </w:p>
        </w:tc>
        <w:tc>
          <w:tcPr>
            <w:tcW w:w="528" w:type="dxa"/>
            <w:tcBorders>
              <w:top w:val="single" w:sz="18" w:space="0" w:color="auto"/>
              <w:left w:val="single" w:sz="4" w:space="0" w:color="000000"/>
              <w:bottom w:val="single" w:sz="4" w:space="0" w:color="000000"/>
              <w:right w:val="single" w:sz="18" w:space="0" w:color="000000"/>
            </w:tcBorders>
            <w:vAlign w:val="bottom"/>
          </w:tcPr>
          <w:p w:rsidR="00992E16" w:rsidRPr="00F73A3B" w:rsidRDefault="00992E16" w:rsidP="00002898">
            <w:pPr>
              <w:jc w:val="center"/>
              <w:rPr>
                <w:rFonts w:ascii="Times New Roman" w:eastAsia="Times New Roman" w:hAnsi="Times New Roman" w:cs="Times New Roman"/>
                <w:b/>
                <w:bCs/>
                <w:sz w:val="14"/>
                <w:szCs w:val="16"/>
                <w:lang w:eastAsia="hu-HU"/>
              </w:rPr>
            </w:pPr>
          </w:p>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w:t>
            </w:r>
          </w:p>
        </w:tc>
        <w:tc>
          <w:tcPr>
            <w:tcW w:w="709" w:type="dxa"/>
            <w:tcBorders>
              <w:top w:val="single" w:sz="18" w:space="0" w:color="auto"/>
              <w:left w:val="single" w:sz="18" w:space="0" w:color="000000"/>
              <w:bottom w:val="single" w:sz="4" w:space="0" w:color="000000"/>
              <w:right w:val="single" w:sz="4" w:space="0" w:color="000000"/>
            </w:tcBorders>
            <w:shd w:val="clear" w:color="auto" w:fill="auto"/>
            <w:noWrap/>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11,07</w:t>
            </w:r>
          </w:p>
        </w:tc>
        <w:tc>
          <w:tcPr>
            <w:tcW w:w="709" w:type="dxa"/>
            <w:tcBorders>
              <w:top w:val="single" w:sz="18" w:space="0" w:color="auto"/>
              <w:left w:val="nil"/>
              <w:bottom w:val="single" w:sz="4" w:space="0" w:color="000000"/>
              <w:right w:val="single" w:sz="18" w:space="0" w:color="000000"/>
            </w:tcBorders>
            <w:shd w:val="clear" w:color="auto" w:fill="auto"/>
            <w:noWrap/>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3,25</w:t>
            </w:r>
          </w:p>
        </w:tc>
        <w:tc>
          <w:tcPr>
            <w:tcW w:w="708" w:type="dxa"/>
            <w:tcBorders>
              <w:top w:val="single" w:sz="18" w:space="0" w:color="auto"/>
              <w:left w:val="single" w:sz="18" w:space="0" w:color="000000"/>
              <w:bottom w:val="single" w:sz="4" w:space="0" w:color="000000"/>
              <w:right w:val="single" w:sz="18" w:space="0" w:color="000000"/>
            </w:tcBorders>
            <w:shd w:val="clear" w:color="auto" w:fill="auto"/>
            <w:noWrap/>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39,08</w:t>
            </w:r>
          </w:p>
        </w:tc>
        <w:tc>
          <w:tcPr>
            <w:tcW w:w="709" w:type="dxa"/>
            <w:gridSpan w:val="2"/>
            <w:tcBorders>
              <w:top w:val="single" w:sz="18" w:space="0" w:color="auto"/>
              <w:left w:val="single" w:sz="18" w:space="0" w:color="000000"/>
              <w:bottom w:val="single" w:sz="4" w:space="0" w:color="000000"/>
              <w:right w:val="single" w:sz="4" w:space="0" w:color="000000"/>
            </w:tcBorders>
            <w:shd w:val="clear" w:color="auto" w:fill="auto"/>
            <w:noWrap/>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4,89</w:t>
            </w:r>
          </w:p>
        </w:tc>
        <w:tc>
          <w:tcPr>
            <w:tcW w:w="567" w:type="dxa"/>
            <w:tcBorders>
              <w:top w:val="single" w:sz="18" w:space="0" w:color="auto"/>
              <w:left w:val="nil"/>
              <w:bottom w:val="single" w:sz="4" w:space="0" w:color="000000"/>
              <w:right w:val="single" w:sz="18" w:space="0" w:color="000000"/>
            </w:tcBorders>
            <w:shd w:val="clear" w:color="auto" w:fill="auto"/>
            <w:noWrap/>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4,89</w:t>
            </w:r>
          </w:p>
        </w:tc>
        <w:tc>
          <w:tcPr>
            <w:tcW w:w="709" w:type="dxa"/>
            <w:tcBorders>
              <w:top w:val="single" w:sz="18" w:space="0" w:color="auto"/>
              <w:left w:val="single" w:sz="18" w:space="0" w:color="000000"/>
              <w:bottom w:val="single" w:sz="4" w:space="0" w:color="000000"/>
              <w:right w:val="single" w:sz="4" w:space="0" w:color="000000"/>
            </w:tcBorders>
            <w:shd w:val="clear" w:color="auto" w:fill="auto"/>
            <w:noWrap/>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16,94</w:t>
            </w:r>
          </w:p>
        </w:tc>
        <w:tc>
          <w:tcPr>
            <w:tcW w:w="709" w:type="dxa"/>
            <w:tcBorders>
              <w:top w:val="single" w:sz="18" w:space="0" w:color="auto"/>
              <w:left w:val="nil"/>
              <w:bottom w:val="single" w:sz="4" w:space="0" w:color="000000"/>
              <w:right w:val="single" w:sz="18" w:space="0" w:color="000000"/>
            </w:tcBorders>
            <w:shd w:val="clear" w:color="auto" w:fill="auto"/>
            <w:noWrap/>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16,61</w:t>
            </w:r>
          </w:p>
        </w:tc>
        <w:tc>
          <w:tcPr>
            <w:tcW w:w="850" w:type="dxa"/>
            <w:tcBorders>
              <w:top w:val="single" w:sz="18" w:space="0" w:color="auto"/>
              <w:left w:val="single" w:sz="18" w:space="0" w:color="000000"/>
              <w:bottom w:val="single" w:sz="4" w:space="0" w:color="000000"/>
              <w:right w:val="single" w:sz="18" w:space="0" w:color="000000"/>
            </w:tcBorders>
            <w:shd w:val="clear" w:color="auto" w:fill="auto"/>
            <w:noWrap/>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1,63</w:t>
            </w:r>
          </w:p>
        </w:tc>
        <w:tc>
          <w:tcPr>
            <w:tcW w:w="851" w:type="dxa"/>
            <w:tcBorders>
              <w:top w:val="single" w:sz="18" w:space="0" w:color="auto"/>
              <w:left w:val="single" w:sz="18" w:space="0" w:color="000000"/>
              <w:bottom w:val="single" w:sz="4" w:space="0" w:color="000000"/>
              <w:right w:val="single" w:sz="18" w:space="0" w:color="auto"/>
            </w:tcBorders>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1,63</w:t>
            </w:r>
          </w:p>
        </w:tc>
      </w:tr>
      <w:tr w:rsidR="00992E16" w:rsidRPr="007E42E0" w:rsidTr="00CB4389">
        <w:trPr>
          <w:trHeight w:val="297"/>
        </w:trPr>
        <w:tc>
          <w:tcPr>
            <w:tcW w:w="763" w:type="dxa"/>
            <w:tcBorders>
              <w:top w:val="single" w:sz="4" w:space="0" w:color="auto"/>
              <w:left w:val="single" w:sz="18" w:space="0" w:color="auto"/>
              <w:bottom w:val="single" w:sz="4" w:space="0" w:color="auto"/>
              <w:right w:val="single" w:sz="4" w:space="0" w:color="auto"/>
            </w:tcBorders>
          </w:tcPr>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2)</w:t>
            </w:r>
          </w:p>
        </w:tc>
        <w:tc>
          <w:tcPr>
            <w:tcW w:w="528" w:type="dxa"/>
            <w:tcBorders>
              <w:top w:val="single" w:sz="4" w:space="0" w:color="auto"/>
              <w:left w:val="single" w:sz="4" w:space="0" w:color="auto"/>
              <w:bottom w:val="single" w:sz="4" w:space="0" w:color="auto"/>
              <w:right w:val="single" w:sz="18" w:space="0" w:color="auto"/>
            </w:tcBorders>
            <w:vAlign w:val="bottom"/>
          </w:tcPr>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w:t>
            </w:r>
          </w:p>
        </w:tc>
        <w:tc>
          <w:tcPr>
            <w:tcW w:w="1418" w:type="dxa"/>
            <w:gridSpan w:val="2"/>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14,33</w:t>
            </w:r>
          </w:p>
        </w:tc>
        <w:tc>
          <w:tcPr>
            <w:tcW w:w="708" w:type="dxa"/>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39,08</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9,77</w:t>
            </w:r>
          </w:p>
        </w:tc>
        <w:tc>
          <w:tcPr>
            <w:tcW w:w="1418" w:type="dxa"/>
            <w:gridSpan w:val="2"/>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33,55</w:t>
            </w:r>
          </w:p>
        </w:tc>
        <w:tc>
          <w:tcPr>
            <w:tcW w:w="850" w:type="dxa"/>
            <w:tcBorders>
              <w:top w:val="single" w:sz="4" w:space="0" w:color="auto"/>
              <w:left w:val="single" w:sz="18" w:space="0" w:color="auto"/>
              <w:bottom w:val="single" w:sz="4" w:space="0" w:color="auto"/>
              <w:right w:val="single" w:sz="18" w:space="0" w:color="auto"/>
            </w:tcBorders>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1,63</w:t>
            </w:r>
          </w:p>
        </w:tc>
        <w:tc>
          <w:tcPr>
            <w:tcW w:w="851" w:type="dxa"/>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1,63</w:t>
            </w:r>
          </w:p>
        </w:tc>
      </w:tr>
      <w:tr w:rsidR="00992E16" w:rsidRPr="007E42E0" w:rsidTr="00CB4389">
        <w:trPr>
          <w:trHeight w:val="260"/>
        </w:trPr>
        <w:tc>
          <w:tcPr>
            <w:tcW w:w="763" w:type="dxa"/>
            <w:tcBorders>
              <w:top w:val="single" w:sz="4" w:space="0" w:color="auto"/>
              <w:left w:val="single" w:sz="18" w:space="0" w:color="auto"/>
              <w:bottom w:val="single" w:sz="4" w:space="0" w:color="auto"/>
              <w:right w:val="single" w:sz="4" w:space="0" w:color="auto"/>
            </w:tcBorders>
          </w:tcPr>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3)</w:t>
            </w:r>
          </w:p>
        </w:tc>
        <w:tc>
          <w:tcPr>
            <w:tcW w:w="528" w:type="dxa"/>
            <w:tcBorders>
              <w:top w:val="single" w:sz="4" w:space="0" w:color="auto"/>
              <w:left w:val="single" w:sz="4" w:space="0" w:color="auto"/>
              <w:bottom w:val="single" w:sz="4" w:space="0" w:color="auto"/>
              <w:right w:val="single" w:sz="18" w:space="0" w:color="auto"/>
            </w:tcBorders>
            <w:vAlign w:val="bottom"/>
          </w:tcPr>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w:t>
            </w:r>
          </w:p>
        </w:tc>
        <w:tc>
          <w:tcPr>
            <w:tcW w:w="1418" w:type="dxa"/>
            <w:gridSpan w:val="2"/>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14,33</w:t>
            </w:r>
          </w:p>
        </w:tc>
        <w:tc>
          <w:tcPr>
            <w:tcW w:w="708" w:type="dxa"/>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39,08</w:t>
            </w:r>
          </w:p>
        </w:tc>
        <w:tc>
          <w:tcPr>
            <w:tcW w:w="2694" w:type="dxa"/>
            <w:gridSpan w:val="5"/>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43,32</w:t>
            </w:r>
          </w:p>
        </w:tc>
        <w:tc>
          <w:tcPr>
            <w:tcW w:w="850" w:type="dxa"/>
            <w:tcBorders>
              <w:top w:val="single" w:sz="4" w:space="0" w:color="auto"/>
              <w:left w:val="single" w:sz="18" w:space="0" w:color="auto"/>
              <w:bottom w:val="single" w:sz="4" w:space="0" w:color="auto"/>
              <w:right w:val="single" w:sz="18" w:space="0" w:color="auto"/>
            </w:tcBorders>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1,63</w:t>
            </w:r>
          </w:p>
        </w:tc>
        <w:tc>
          <w:tcPr>
            <w:tcW w:w="851" w:type="dxa"/>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1,63</w:t>
            </w:r>
          </w:p>
        </w:tc>
      </w:tr>
      <w:tr w:rsidR="00992E16" w:rsidRPr="007E42E0" w:rsidTr="00CB4389">
        <w:trPr>
          <w:trHeight w:val="278"/>
        </w:trPr>
        <w:tc>
          <w:tcPr>
            <w:tcW w:w="763" w:type="dxa"/>
            <w:tcBorders>
              <w:top w:val="single" w:sz="4" w:space="0" w:color="auto"/>
              <w:left w:val="single" w:sz="18" w:space="0" w:color="auto"/>
              <w:bottom w:val="single" w:sz="4" w:space="0" w:color="auto"/>
              <w:right w:val="single" w:sz="4" w:space="0" w:color="auto"/>
            </w:tcBorders>
          </w:tcPr>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4)</w:t>
            </w:r>
          </w:p>
        </w:tc>
        <w:tc>
          <w:tcPr>
            <w:tcW w:w="528" w:type="dxa"/>
            <w:tcBorders>
              <w:top w:val="single" w:sz="4" w:space="0" w:color="auto"/>
              <w:left w:val="single" w:sz="4" w:space="0" w:color="auto"/>
              <w:bottom w:val="single" w:sz="4" w:space="0" w:color="auto"/>
              <w:right w:val="single" w:sz="18" w:space="0" w:color="auto"/>
            </w:tcBorders>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w:t>
            </w:r>
          </w:p>
        </w:tc>
        <w:tc>
          <w:tcPr>
            <w:tcW w:w="2126" w:type="dxa"/>
            <w:gridSpan w:val="3"/>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53,42</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9,77</w:t>
            </w:r>
          </w:p>
        </w:tc>
        <w:tc>
          <w:tcPr>
            <w:tcW w:w="2268" w:type="dxa"/>
            <w:gridSpan w:val="3"/>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35,17</w:t>
            </w:r>
          </w:p>
        </w:tc>
        <w:tc>
          <w:tcPr>
            <w:tcW w:w="851" w:type="dxa"/>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1,63</w:t>
            </w:r>
          </w:p>
        </w:tc>
      </w:tr>
      <w:tr w:rsidR="00992E16" w:rsidRPr="007E42E0" w:rsidTr="00CB4389">
        <w:trPr>
          <w:trHeight w:val="282"/>
        </w:trPr>
        <w:tc>
          <w:tcPr>
            <w:tcW w:w="763" w:type="dxa"/>
            <w:tcBorders>
              <w:top w:val="single" w:sz="4" w:space="0" w:color="auto"/>
              <w:left w:val="single" w:sz="18" w:space="0" w:color="auto"/>
              <w:bottom w:val="single" w:sz="4" w:space="0" w:color="auto"/>
              <w:right w:val="single" w:sz="4" w:space="0" w:color="auto"/>
            </w:tcBorders>
          </w:tcPr>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5)</w:t>
            </w:r>
          </w:p>
        </w:tc>
        <w:tc>
          <w:tcPr>
            <w:tcW w:w="528" w:type="dxa"/>
            <w:tcBorders>
              <w:top w:val="single" w:sz="4" w:space="0" w:color="auto"/>
              <w:left w:val="single" w:sz="4" w:space="0" w:color="auto"/>
              <w:bottom w:val="single" w:sz="4" w:space="0" w:color="auto"/>
              <w:right w:val="single" w:sz="18" w:space="0" w:color="auto"/>
            </w:tcBorders>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w:t>
            </w:r>
          </w:p>
        </w:tc>
        <w:tc>
          <w:tcPr>
            <w:tcW w:w="2126" w:type="dxa"/>
            <w:gridSpan w:val="3"/>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53,42</w:t>
            </w:r>
          </w:p>
        </w:tc>
        <w:tc>
          <w:tcPr>
            <w:tcW w:w="3544" w:type="dxa"/>
            <w:gridSpan w:val="6"/>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44,95</w:t>
            </w:r>
          </w:p>
        </w:tc>
        <w:tc>
          <w:tcPr>
            <w:tcW w:w="851" w:type="dxa"/>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1,63</w:t>
            </w:r>
          </w:p>
        </w:tc>
      </w:tr>
      <w:tr w:rsidR="00992E16" w:rsidRPr="007E42E0" w:rsidTr="00CB4389">
        <w:trPr>
          <w:trHeight w:val="259"/>
        </w:trPr>
        <w:tc>
          <w:tcPr>
            <w:tcW w:w="763" w:type="dxa"/>
            <w:tcBorders>
              <w:top w:val="single" w:sz="4" w:space="0" w:color="auto"/>
              <w:left w:val="single" w:sz="18" w:space="0" w:color="auto"/>
              <w:bottom w:val="single" w:sz="4" w:space="0" w:color="auto"/>
              <w:right w:val="single" w:sz="4" w:space="0" w:color="auto"/>
            </w:tcBorders>
          </w:tcPr>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6)</w:t>
            </w:r>
          </w:p>
        </w:tc>
        <w:tc>
          <w:tcPr>
            <w:tcW w:w="528" w:type="dxa"/>
            <w:tcBorders>
              <w:top w:val="single" w:sz="4" w:space="0" w:color="auto"/>
              <w:left w:val="single" w:sz="4" w:space="0" w:color="auto"/>
              <w:bottom w:val="single" w:sz="4" w:space="0" w:color="auto"/>
              <w:right w:val="single" w:sz="18" w:space="0" w:color="auto"/>
            </w:tcBorders>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w:t>
            </w:r>
          </w:p>
        </w:tc>
        <w:tc>
          <w:tcPr>
            <w:tcW w:w="3402" w:type="dxa"/>
            <w:gridSpan w:val="6"/>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63,19</w:t>
            </w:r>
          </w:p>
        </w:tc>
        <w:tc>
          <w:tcPr>
            <w:tcW w:w="3119" w:type="dxa"/>
            <w:gridSpan w:val="4"/>
            <w:tcBorders>
              <w:top w:val="single" w:sz="4" w:space="0" w:color="auto"/>
              <w:left w:val="single" w:sz="18" w:space="0" w:color="auto"/>
              <w:bottom w:val="single" w:sz="4"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36,80</w:t>
            </w:r>
          </w:p>
        </w:tc>
      </w:tr>
      <w:tr w:rsidR="00992E16" w:rsidRPr="007E42E0" w:rsidTr="00CB4389">
        <w:trPr>
          <w:trHeight w:val="276"/>
        </w:trPr>
        <w:tc>
          <w:tcPr>
            <w:tcW w:w="763" w:type="dxa"/>
            <w:tcBorders>
              <w:top w:val="single" w:sz="4" w:space="0" w:color="auto"/>
              <w:left w:val="single" w:sz="18" w:space="0" w:color="auto"/>
              <w:bottom w:val="single" w:sz="18" w:space="0" w:color="auto"/>
              <w:right w:val="single" w:sz="4" w:space="0" w:color="auto"/>
            </w:tcBorders>
          </w:tcPr>
          <w:p w:rsidR="00992E16" w:rsidRPr="00F73A3B" w:rsidRDefault="00992E16" w:rsidP="00002898">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7)</w:t>
            </w:r>
          </w:p>
        </w:tc>
        <w:tc>
          <w:tcPr>
            <w:tcW w:w="528" w:type="dxa"/>
            <w:tcBorders>
              <w:top w:val="single" w:sz="4" w:space="0" w:color="auto"/>
              <w:left w:val="single" w:sz="4" w:space="0" w:color="auto"/>
              <w:bottom w:val="single" w:sz="18" w:space="0" w:color="auto"/>
              <w:right w:val="single" w:sz="18" w:space="0" w:color="auto"/>
            </w:tcBorders>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w:t>
            </w:r>
          </w:p>
        </w:tc>
        <w:tc>
          <w:tcPr>
            <w:tcW w:w="2126" w:type="dxa"/>
            <w:gridSpan w:val="3"/>
            <w:tcBorders>
              <w:top w:val="single" w:sz="4" w:space="0" w:color="auto"/>
              <w:left w:val="single" w:sz="18" w:space="0" w:color="auto"/>
              <w:bottom w:val="single" w:sz="18"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53,42</w:t>
            </w:r>
          </w:p>
        </w:tc>
        <w:tc>
          <w:tcPr>
            <w:tcW w:w="4395" w:type="dxa"/>
            <w:gridSpan w:val="7"/>
            <w:tcBorders>
              <w:top w:val="single" w:sz="4" w:space="0" w:color="auto"/>
              <w:left w:val="single" w:sz="18" w:space="0" w:color="auto"/>
              <w:bottom w:val="single" w:sz="18" w:space="0" w:color="auto"/>
              <w:right w:val="single" w:sz="18" w:space="0" w:color="auto"/>
            </w:tcBorders>
            <w:shd w:val="clear" w:color="auto" w:fill="auto"/>
          </w:tcPr>
          <w:p w:rsidR="00992E16" w:rsidRPr="00F73A3B" w:rsidRDefault="00992E16" w:rsidP="00CB4389">
            <w:pPr>
              <w:jc w:val="center"/>
              <w:rPr>
                <w:rFonts w:ascii="Times New Roman" w:eastAsia="Times New Roman" w:hAnsi="Times New Roman" w:cs="Times New Roman"/>
                <w:b/>
                <w:bCs/>
                <w:sz w:val="14"/>
                <w:szCs w:val="16"/>
                <w:lang w:eastAsia="hu-HU"/>
              </w:rPr>
            </w:pPr>
            <w:r w:rsidRPr="00F73A3B">
              <w:rPr>
                <w:rFonts w:ascii="Times New Roman" w:eastAsia="Times New Roman" w:hAnsi="Times New Roman" w:cs="Times New Roman"/>
                <w:b/>
                <w:bCs/>
                <w:sz w:val="14"/>
                <w:szCs w:val="16"/>
                <w:lang w:eastAsia="hu-HU"/>
              </w:rPr>
              <w:t>46,57</w:t>
            </w:r>
          </w:p>
        </w:tc>
      </w:tr>
    </w:tbl>
    <w:p w:rsidR="00CB4389" w:rsidRDefault="00CB4389" w:rsidP="00C83AE4">
      <w:pPr>
        <w:autoSpaceDE w:val="0"/>
        <w:autoSpaceDN w:val="0"/>
        <w:adjustRightInd w:val="0"/>
        <w:rPr>
          <w:rFonts w:ascii="Times New Roman" w:hAnsi="Times New Roman" w:cs="Times New Roman"/>
          <w:b/>
        </w:rPr>
      </w:pPr>
    </w:p>
    <w:p w:rsidR="007E42E0" w:rsidRDefault="007E42E0" w:rsidP="007E42E0">
      <w:pPr>
        <w:autoSpaceDE w:val="0"/>
        <w:autoSpaceDN w:val="0"/>
        <w:adjustRightInd w:val="0"/>
        <w:ind w:left="360"/>
        <w:rPr>
          <w:rFonts w:ascii="Times New Roman" w:hAnsi="Times New Roman" w:cs="Times New Roman"/>
          <w:b/>
        </w:rPr>
      </w:pPr>
      <w:r w:rsidRPr="007E42E0">
        <w:rPr>
          <w:rFonts w:ascii="Times New Roman" w:hAnsi="Times New Roman" w:cs="Times New Roman"/>
          <w:b/>
        </w:rPr>
        <w:t xml:space="preserve">Magyarázat: </w:t>
      </w:r>
    </w:p>
    <w:p w:rsidR="007F54B5" w:rsidRPr="007E42E0" w:rsidRDefault="007F54B5" w:rsidP="007E42E0">
      <w:pPr>
        <w:autoSpaceDE w:val="0"/>
        <w:autoSpaceDN w:val="0"/>
        <w:adjustRightInd w:val="0"/>
        <w:ind w:left="360"/>
        <w:rPr>
          <w:rFonts w:ascii="Times New Roman" w:hAnsi="Times New Roman" w:cs="Times New Roman"/>
          <w:b/>
        </w:rPr>
      </w:pPr>
    </w:p>
    <w:p w:rsidR="007E42E0" w:rsidRPr="00920ADB" w:rsidRDefault="007E42E0" w:rsidP="007E42E0">
      <w:pPr>
        <w:numPr>
          <w:ilvl w:val="0"/>
          <w:numId w:val="3"/>
        </w:numPr>
        <w:autoSpaceDE w:val="0"/>
        <w:autoSpaceDN w:val="0"/>
        <w:adjustRightInd w:val="0"/>
        <w:contextualSpacing/>
        <w:rPr>
          <w:rFonts w:ascii="Times New Roman" w:hAnsi="Times New Roman" w:cs="Times New Roman"/>
          <w:sz w:val="20"/>
          <w:szCs w:val="20"/>
        </w:rPr>
      </w:pPr>
      <w:r w:rsidRPr="00920ADB">
        <w:rPr>
          <w:rFonts w:ascii="Times New Roman" w:hAnsi="Times New Roman" w:cs="Times New Roman"/>
          <w:b/>
          <w:sz w:val="20"/>
          <w:szCs w:val="20"/>
        </w:rPr>
        <w:t>az egyes döntési „fajták”  a Veszprémben történt befejezések arányában (A – I)</w:t>
      </w:r>
    </w:p>
    <w:p w:rsidR="007E42E0" w:rsidRPr="007E42E0" w:rsidRDefault="007E42E0" w:rsidP="007E42E0">
      <w:pPr>
        <w:numPr>
          <w:ilvl w:val="0"/>
          <w:numId w:val="3"/>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határozatok [</w:t>
      </w:r>
      <w:r w:rsidRPr="007E42E0">
        <w:rPr>
          <w:rFonts w:ascii="Times New Roman" w:hAnsi="Times New Roman" w:cs="Times New Roman"/>
          <w:i/>
          <w:sz w:val="20"/>
          <w:szCs w:val="20"/>
        </w:rPr>
        <w:t>30. § (1) és 32. § a) pont – (</w:t>
      </w:r>
      <w:r w:rsidRPr="007E42E0">
        <w:rPr>
          <w:rFonts w:ascii="Times New Roman" w:hAnsi="Times New Roman" w:cs="Times New Roman"/>
          <w:b/>
          <w:sz w:val="20"/>
          <w:szCs w:val="20"/>
        </w:rPr>
        <w:t>A és B) ] és más összevonható kategóriák [</w:t>
      </w:r>
      <w:r w:rsidRPr="007E42E0">
        <w:rPr>
          <w:rFonts w:ascii="Times New Roman" w:hAnsi="Times New Roman" w:cs="Times New Roman"/>
          <w:sz w:val="20"/>
          <w:szCs w:val="20"/>
        </w:rPr>
        <w:t xml:space="preserve">31. § (3) a) és b) pontjai, mint </w:t>
      </w:r>
      <w:r w:rsidRPr="007E42E0">
        <w:rPr>
          <w:rFonts w:ascii="Times New Roman" w:hAnsi="Times New Roman" w:cs="Times New Roman"/>
          <w:b/>
          <w:i/>
          <w:sz w:val="20"/>
          <w:szCs w:val="20"/>
        </w:rPr>
        <w:t>pozitív döntések</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 xml:space="preserve">(D – E);   </w:t>
      </w:r>
      <w:r w:rsidRPr="007E42E0">
        <w:rPr>
          <w:rFonts w:ascii="Times New Roman" w:hAnsi="Times New Roman" w:cs="Times New Roman"/>
          <w:b/>
          <w:i/>
          <w:sz w:val="20"/>
          <w:szCs w:val="20"/>
        </w:rPr>
        <w:t xml:space="preserve">a fogyasztóra nézve negatív döntések: 31. § (3) </w:t>
      </w:r>
      <w:r w:rsidRPr="007E42E0">
        <w:rPr>
          <w:rFonts w:ascii="Times New Roman" w:hAnsi="Times New Roman" w:cs="Times New Roman"/>
          <w:i/>
          <w:sz w:val="20"/>
          <w:szCs w:val="20"/>
        </w:rPr>
        <w:t>c</w:t>
      </w:r>
      <w:r w:rsidRPr="007E42E0">
        <w:rPr>
          <w:rFonts w:ascii="Times New Roman" w:hAnsi="Times New Roman" w:cs="Times New Roman"/>
          <w:sz w:val="20"/>
          <w:szCs w:val="20"/>
        </w:rPr>
        <w:t>) és d) pontjai (</w:t>
      </w:r>
      <w:r w:rsidRPr="007E42E0">
        <w:rPr>
          <w:rFonts w:ascii="Times New Roman" w:hAnsi="Times New Roman" w:cs="Times New Roman"/>
          <w:b/>
          <w:sz w:val="20"/>
          <w:szCs w:val="20"/>
        </w:rPr>
        <w:t>F – G, H</w:t>
      </w:r>
      <w:r w:rsidRPr="007E42E0">
        <w:rPr>
          <w:rFonts w:ascii="Times New Roman" w:hAnsi="Times New Roman" w:cs="Times New Roman"/>
          <w:sz w:val="20"/>
          <w:szCs w:val="20"/>
        </w:rPr>
        <w:t xml:space="preserve"> ); , a 32/A § </w:t>
      </w:r>
      <w:r w:rsidRPr="007E42E0">
        <w:rPr>
          <w:rFonts w:ascii="Times New Roman" w:hAnsi="Times New Roman" w:cs="Times New Roman"/>
          <w:b/>
          <w:sz w:val="20"/>
          <w:szCs w:val="20"/>
        </w:rPr>
        <w:t>(I)]</w:t>
      </w:r>
    </w:p>
    <w:p w:rsidR="007E42E0" w:rsidRPr="007E42E0" w:rsidRDefault="007E42E0" w:rsidP="007E42E0">
      <w:pPr>
        <w:numPr>
          <w:ilvl w:val="0"/>
          <w:numId w:val="3"/>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a 2) sor + a 31. § (3) bekezdése alapján történt megszüntetések összevonása (D-G), illetve (H és I)</w:t>
      </w:r>
    </w:p>
    <w:p w:rsidR="007E42E0" w:rsidRPr="007E42E0" w:rsidRDefault="007E42E0" w:rsidP="007E42E0">
      <w:pPr>
        <w:numPr>
          <w:ilvl w:val="0"/>
          <w:numId w:val="3"/>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érdemi – pozit</w:t>
      </w:r>
      <w:r w:rsidR="00920ADB">
        <w:rPr>
          <w:rFonts w:ascii="Times New Roman" w:hAnsi="Times New Roman" w:cs="Times New Roman"/>
          <w:b/>
          <w:sz w:val="20"/>
          <w:szCs w:val="20"/>
        </w:rPr>
        <w:t>í</w:t>
      </w:r>
      <w:r w:rsidRPr="007E42E0">
        <w:rPr>
          <w:rFonts w:ascii="Times New Roman" w:hAnsi="Times New Roman" w:cs="Times New Roman"/>
          <w:b/>
          <w:sz w:val="20"/>
          <w:szCs w:val="20"/>
        </w:rPr>
        <w:t xml:space="preserve">v – döntések (egyezség, kötelezés, ajánlás (A-C)), érdemi, pozitív megszüntetések [31. § (3) a) és b) pontjai (D-E) )]; megszüntetések (F-H) , elutasítás (I), </w:t>
      </w:r>
    </w:p>
    <w:p w:rsidR="007E42E0" w:rsidRPr="007E42E0" w:rsidRDefault="007E42E0" w:rsidP="007E42E0">
      <w:pPr>
        <w:numPr>
          <w:ilvl w:val="0"/>
          <w:numId w:val="3"/>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érdemi döntések</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A-C</w:t>
      </w:r>
      <w:r w:rsidRPr="007E42E0">
        <w:rPr>
          <w:rFonts w:ascii="Times New Roman" w:hAnsi="Times New Roman" w:cs="Times New Roman"/>
          <w:sz w:val="20"/>
          <w:szCs w:val="20"/>
        </w:rPr>
        <w:t xml:space="preserve">); megszüntetések  </w:t>
      </w:r>
      <w:r w:rsidRPr="007E42E0">
        <w:rPr>
          <w:rFonts w:ascii="Times New Roman" w:hAnsi="Times New Roman" w:cs="Times New Roman"/>
          <w:b/>
          <w:sz w:val="20"/>
          <w:szCs w:val="20"/>
        </w:rPr>
        <w:t>(D-H)</w:t>
      </w:r>
      <w:r w:rsidRPr="007E42E0">
        <w:rPr>
          <w:rFonts w:ascii="Times New Roman" w:hAnsi="Times New Roman" w:cs="Times New Roman"/>
          <w:sz w:val="20"/>
          <w:szCs w:val="20"/>
        </w:rPr>
        <w:t xml:space="preserve"> összesen (a; elutasítás </w:t>
      </w:r>
      <w:r w:rsidRPr="007E42E0">
        <w:rPr>
          <w:rFonts w:ascii="Times New Roman" w:hAnsi="Times New Roman" w:cs="Times New Roman"/>
          <w:b/>
          <w:sz w:val="20"/>
          <w:szCs w:val="20"/>
        </w:rPr>
        <w:t>(I),</w:t>
      </w:r>
    </w:p>
    <w:p w:rsidR="007E42E0" w:rsidRPr="007E42E0" w:rsidRDefault="007E42E0" w:rsidP="007E42E0">
      <w:pPr>
        <w:numPr>
          <w:ilvl w:val="0"/>
          <w:numId w:val="3"/>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Fogyasztó szempontjából pozitív</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(A – E),</w:t>
      </w:r>
      <w:r w:rsidRPr="007E42E0">
        <w:rPr>
          <w:rFonts w:ascii="Times New Roman" w:hAnsi="Times New Roman" w:cs="Times New Roman"/>
          <w:sz w:val="20"/>
          <w:szCs w:val="20"/>
        </w:rPr>
        <w:t xml:space="preserve"> illetve </w:t>
      </w:r>
      <w:r w:rsidRPr="007E42E0">
        <w:rPr>
          <w:rFonts w:ascii="Times New Roman" w:hAnsi="Times New Roman" w:cs="Times New Roman"/>
          <w:b/>
          <w:sz w:val="20"/>
          <w:szCs w:val="20"/>
        </w:rPr>
        <w:t>negatív</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(F-I)</w:t>
      </w:r>
      <w:r w:rsidRPr="007E42E0">
        <w:rPr>
          <w:rFonts w:ascii="Times New Roman" w:hAnsi="Times New Roman" w:cs="Times New Roman"/>
          <w:sz w:val="20"/>
          <w:szCs w:val="20"/>
        </w:rPr>
        <w:t xml:space="preserve"> </w:t>
      </w:r>
      <w:r w:rsidRPr="007E42E0">
        <w:rPr>
          <w:rFonts w:ascii="Times New Roman" w:hAnsi="Times New Roman" w:cs="Times New Roman"/>
          <w:b/>
          <w:sz w:val="20"/>
          <w:szCs w:val="20"/>
        </w:rPr>
        <w:t>döntések</w:t>
      </w:r>
    </w:p>
    <w:p w:rsidR="007E42E0" w:rsidRPr="00510CBB" w:rsidRDefault="007E42E0" w:rsidP="007E42E0">
      <w:pPr>
        <w:numPr>
          <w:ilvl w:val="0"/>
          <w:numId w:val="3"/>
        </w:numPr>
        <w:autoSpaceDE w:val="0"/>
        <w:autoSpaceDN w:val="0"/>
        <w:adjustRightInd w:val="0"/>
        <w:contextualSpacing/>
        <w:rPr>
          <w:rFonts w:ascii="Times New Roman" w:hAnsi="Times New Roman" w:cs="Times New Roman"/>
          <w:sz w:val="20"/>
          <w:szCs w:val="20"/>
        </w:rPr>
      </w:pPr>
      <w:r w:rsidRPr="007E42E0">
        <w:rPr>
          <w:rFonts w:ascii="Times New Roman" w:hAnsi="Times New Roman" w:cs="Times New Roman"/>
          <w:b/>
          <w:sz w:val="20"/>
          <w:szCs w:val="20"/>
        </w:rPr>
        <w:t>Érdemi döntések (A-C), megszüntetések (D-I)</w:t>
      </w:r>
    </w:p>
    <w:p w:rsidR="00510CBB" w:rsidRDefault="00510CBB" w:rsidP="00510CBB">
      <w:pPr>
        <w:autoSpaceDE w:val="0"/>
        <w:autoSpaceDN w:val="0"/>
        <w:adjustRightInd w:val="0"/>
        <w:contextualSpacing/>
        <w:rPr>
          <w:rFonts w:ascii="Times New Roman" w:hAnsi="Times New Roman" w:cs="Times New Roman"/>
          <w:b/>
          <w:sz w:val="20"/>
          <w:szCs w:val="20"/>
        </w:rPr>
      </w:pPr>
    </w:p>
    <w:p w:rsidR="00510CBB" w:rsidRPr="00510CBB" w:rsidRDefault="00510CBB" w:rsidP="00510CBB">
      <w:pPr>
        <w:tabs>
          <w:tab w:val="left" w:pos="9498"/>
        </w:tabs>
        <w:rPr>
          <w:rFonts w:ascii="Times New Roman" w:eastAsia="Calibri" w:hAnsi="Times New Roman" w:cs="Times New Roman"/>
          <w:b/>
          <w:lang w:eastAsia="hu-HU"/>
        </w:rPr>
      </w:pPr>
      <w:r w:rsidRPr="00510CBB">
        <w:rPr>
          <w:rFonts w:ascii="Times New Roman" w:eastAsia="Calibri" w:hAnsi="Times New Roman" w:cs="Times New Roman"/>
          <w:b/>
          <w:lang w:eastAsia="hu-HU"/>
        </w:rPr>
        <w:t xml:space="preserve">Az alábbi táblázat </w:t>
      </w:r>
      <w:r w:rsidR="00C83AE4" w:rsidRPr="00A816CD">
        <w:rPr>
          <w:rFonts w:ascii="Times New Roman" w:eastAsia="Calibri" w:hAnsi="Times New Roman" w:cs="Times New Roman"/>
          <w:b/>
          <w:i/>
          <w:lang w:eastAsia="hu-HU"/>
        </w:rPr>
        <w:t>kategóriánként</w:t>
      </w:r>
      <w:r w:rsidR="00C83AE4">
        <w:rPr>
          <w:rFonts w:ascii="Times New Roman" w:eastAsia="Calibri" w:hAnsi="Times New Roman" w:cs="Times New Roman"/>
          <w:b/>
          <w:lang w:eastAsia="hu-HU"/>
        </w:rPr>
        <w:t xml:space="preserve"> - félévenkénti bontásban - </w:t>
      </w:r>
      <w:r w:rsidRPr="00510CBB">
        <w:rPr>
          <w:rFonts w:ascii="Times New Roman" w:eastAsia="Calibri" w:hAnsi="Times New Roman" w:cs="Times New Roman"/>
          <w:b/>
          <w:lang w:eastAsia="hu-HU"/>
        </w:rPr>
        <w:t>mutat</w:t>
      </w:r>
      <w:r w:rsidR="00A816CD">
        <w:rPr>
          <w:rFonts w:ascii="Times New Roman" w:eastAsia="Calibri" w:hAnsi="Times New Roman" w:cs="Times New Roman"/>
          <w:b/>
          <w:lang w:eastAsia="hu-HU"/>
        </w:rPr>
        <w:t xml:space="preserve">ja be az </w:t>
      </w:r>
      <w:r w:rsidRPr="00510CBB">
        <w:rPr>
          <w:rFonts w:ascii="Times New Roman" w:eastAsia="Calibri" w:hAnsi="Times New Roman" w:cs="Times New Roman"/>
          <w:b/>
          <w:lang w:eastAsia="hu-HU"/>
        </w:rPr>
        <w:t>ügyek kimenetelét:</w:t>
      </w:r>
    </w:p>
    <w:p w:rsidR="00510CBB" w:rsidRPr="001C2761" w:rsidRDefault="00510CBB" w:rsidP="00510CBB">
      <w:pPr>
        <w:tabs>
          <w:tab w:val="left" w:pos="5490"/>
        </w:tabs>
        <w:rPr>
          <w:rFonts w:ascii="Times New Roman" w:eastAsia="Times New Roman" w:hAnsi="Times New Roman" w:cs="Times New Roman"/>
          <w:b/>
          <w:bCs/>
          <w:iCs/>
          <w:lang w:eastAsia="hu-HU"/>
        </w:rPr>
      </w:pPr>
    </w:p>
    <w:tbl>
      <w:tblPr>
        <w:tblW w:w="8366" w:type="dxa"/>
        <w:tblInd w:w="354" w:type="dxa"/>
        <w:tblLayout w:type="fixed"/>
        <w:tblCellMar>
          <w:left w:w="70" w:type="dxa"/>
          <w:right w:w="70" w:type="dxa"/>
        </w:tblCellMar>
        <w:tblLook w:val="04A0" w:firstRow="1" w:lastRow="0" w:firstColumn="1" w:lastColumn="0" w:noHBand="0" w:noVBand="1"/>
      </w:tblPr>
      <w:tblGrid>
        <w:gridCol w:w="1194"/>
        <w:gridCol w:w="705"/>
        <w:gridCol w:w="620"/>
        <w:gridCol w:w="620"/>
        <w:gridCol w:w="620"/>
        <w:gridCol w:w="555"/>
        <w:gridCol w:w="579"/>
        <w:gridCol w:w="567"/>
        <w:gridCol w:w="567"/>
        <w:gridCol w:w="638"/>
        <w:gridCol w:w="567"/>
        <w:gridCol w:w="567"/>
        <w:gridCol w:w="567"/>
      </w:tblGrid>
      <w:tr w:rsidR="006B539C" w:rsidRPr="00510CBB" w:rsidTr="006B539C">
        <w:trPr>
          <w:trHeight w:val="255"/>
        </w:trPr>
        <w:tc>
          <w:tcPr>
            <w:tcW w:w="1194" w:type="dxa"/>
            <w:vMerge w:val="restart"/>
            <w:tcBorders>
              <w:top w:val="single" w:sz="18" w:space="0" w:color="auto"/>
              <w:left w:val="single" w:sz="18" w:space="0" w:color="auto"/>
              <w:right w:val="single" w:sz="8" w:space="0" w:color="auto"/>
            </w:tcBorders>
            <w:shd w:val="clear" w:color="auto" w:fill="auto"/>
            <w:noWrap/>
            <w:vAlign w:val="bottom"/>
          </w:tcPr>
          <w:p w:rsidR="006B539C" w:rsidRPr="00A816CD" w:rsidRDefault="006B539C" w:rsidP="00510CBB">
            <w:pPr>
              <w:jc w:val="center"/>
              <w:rPr>
                <w:rFonts w:ascii="Times New Roman" w:eastAsia="Times New Roman" w:hAnsi="Times New Roman" w:cs="Times New Roman"/>
                <w:b/>
                <w:bCs/>
                <w:i/>
                <w:color w:val="000000"/>
                <w:sz w:val="20"/>
                <w:szCs w:val="20"/>
                <w:lang w:eastAsia="hu-HU"/>
              </w:rPr>
            </w:pPr>
          </w:p>
        </w:tc>
        <w:tc>
          <w:tcPr>
            <w:tcW w:w="705" w:type="dxa"/>
            <w:vMerge w:val="restart"/>
            <w:tcBorders>
              <w:top w:val="single" w:sz="18" w:space="0" w:color="auto"/>
              <w:left w:val="single" w:sz="8" w:space="0" w:color="auto"/>
              <w:right w:val="single" w:sz="8" w:space="0" w:color="auto"/>
            </w:tcBorders>
            <w:shd w:val="clear" w:color="auto" w:fill="auto"/>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összes</w:t>
            </w:r>
          </w:p>
        </w:tc>
        <w:tc>
          <w:tcPr>
            <w:tcW w:w="620" w:type="dxa"/>
            <w:vMerge w:val="restart"/>
            <w:tcBorders>
              <w:top w:val="single" w:sz="18" w:space="0" w:color="auto"/>
              <w:left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Egyez.</w:t>
            </w:r>
          </w:p>
          <w:p w:rsidR="006B539C" w:rsidRPr="006B539C" w:rsidRDefault="006B539C" w:rsidP="006B539C">
            <w:pPr>
              <w:jc w:val="center"/>
              <w:rPr>
                <w:rFonts w:ascii="Times New Roman" w:eastAsia="Times New Roman" w:hAnsi="Times New Roman" w:cs="Times New Roman"/>
                <w:b/>
                <w:bCs/>
                <w:color w:val="000000"/>
                <w:sz w:val="16"/>
                <w:szCs w:val="16"/>
                <w:lang w:eastAsia="hu-HU"/>
              </w:rPr>
            </w:pPr>
          </w:p>
        </w:tc>
        <w:tc>
          <w:tcPr>
            <w:tcW w:w="620" w:type="dxa"/>
            <w:vMerge w:val="restart"/>
            <w:tcBorders>
              <w:top w:val="single" w:sz="18" w:space="0" w:color="auto"/>
              <w:left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Kötel.</w:t>
            </w:r>
          </w:p>
          <w:p w:rsidR="006B539C" w:rsidRPr="006B539C" w:rsidRDefault="006B539C" w:rsidP="006B539C">
            <w:pPr>
              <w:jc w:val="center"/>
              <w:rPr>
                <w:rFonts w:ascii="Times New Roman" w:eastAsia="Times New Roman" w:hAnsi="Times New Roman" w:cs="Times New Roman"/>
                <w:b/>
                <w:bCs/>
                <w:color w:val="000000"/>
                <w:sz w:val="16"/>
                <w:szCs w:val="16"/>
                <w:lang w:eastAsia="hu-HU"/>
              </w:rPr>
            </w:pPr>
          </w:p>
        </w:tc>
        <w:tc>
          <w:tcPr>
            <w:tcW w:w="620" w:type="dxa"/>
            <w:vMerge w:val="restart"/>
            <w:tcBorders>
              <w:top w:val="single" w:sz="18" w:space="0" w:color="auto"/>
              <w:left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Ajánl.</w:t>
            </w:r>
          </w:p>
          <w:p w:rsidR="006B539C" w:rsidRPr="006B539C" w:rsidRDefault="006B539C" w:rsidP="006B539C">
            <w:pPr>
              <w:jc w:val="center"/>
              <w:rPr>
                <w:rFonts w:ascii="Times New Roman" w:eastAsia="Times New Roman" w:hAnsi="Times New Roman" w:cs="Times New Roman"/>
                <w:b/>
                <w:bCs/>
                <w:color w:val="000000"/>
                <w:sz w:val="16"/>
                <w:szCs w:val="16"/>
                <w:lang w:eastAsia="hu-HU"/>
              </w:rPr>
            </w:pPr>
          </w:p>
        </w:tc>
        <w:tc>
          <w:tcPr>
            <w:tcW w:w="2906" w:type="dxa"/>
            <w:gridSpan w:val="5"/>
            <w:tcBorders>
              <w:top w:val="single" w:sz="18" w:space="0" w:color="auto"/>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Megszűntetés</w:t>
            </w:r>
          </w:p>
        </w:tc>
        <w:tc>
          <w:tcPr>
            <w:tcW w:w="567" w:type="dxa"/>
            <w:vMerge w:val="restart"/>
            <w:tcBorders>
              <w:top w:val="single" w:sz="18" w:space="0" w:color="auto"/>
              <w:left w:val="single" w:sz="8" w:space="0" w:color="auto"/>
              <w:right w:val="single" w:sz="8" w:space="0" w:color="auto"/>
            </w:tcBorders>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eluta-sítás</w:t>
            </w:r>
          </w:p>
        </w:tc>
        <w:tc>
          <w:tcPr>
            <w:tcW w:w="1134" w:type="dxa"/>
            <w:gridSpan w:val="2"/>
            <w:tcBorders>
              <w:top w:val="single" w:sz="18" w:space="0" w:color="auto"/>
              <w:left w:val="single" w:sz="8" w:space="0" w:color="auto"/>
              <w:bottom w:val="single" w:sz="8" w:space="0" w:color="auto"/>
              <w:right w:val="single" w:sz="1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Áttétel</w:t>
            </w:r>
          </w:p>
        </w:tc>
      </w:tr>
      <w:tr w:rsidR="006B539C" w:rsidRPr="00510CBB" w:rsidTr="006B539C">
        <w:trPr>
          <w:trHeight w:val="255"/>
        </w:trPr>
        <w:tc>
          <w:tcPr>
            <w:tcW w:w="1194" w:type="dxa"/>
            <w:vMerge/>
            <w:tcBorders>
              <w:left w:val="single" w:sz="18" w:space="0" w:color="auto"/>
              <w:bottom w:val="single" w:sz="8" w:space="0" w:color="auto"/>
              <w:right w:val="single" w:sz="8" w:space="0" w:color="auto"/>
            </w:tcBorders>
            <w:shd w:val="clear" w:color="auto" w:fill="auto"/>
            <w:noWrap/>
            <w:vAlign w:val="bottom"/>
          </w:tcPr>
          <w:p w:rsidR="006B539C" w:rsidRPr="00A816CD" w:rsidRDefault="006B539C" w:rsidP="00510CBB">
            <w:pPr>
              <w:jc w:val="center"/>
              <w:rPr>
                <w:rFonts w:ascii="Times New Roman" w:eastAsia="Times New Roman" w:hAnsi="Times New Roman" w:cs="Times New Roman"/>
                <w:b/>
                <w:bCs/>
                <w:i/>
                <w:color w:val="000000"/>
                <w:sz w:val="20"/>
                <w:szCs w:val="20"/>
                <w:lang w:eastAsia="hu-HU"/>
              </w:rPr>
            </w:pPr>
          </w:p>
        </w:tc>
        <w:tc>
          <w:tcPr>
            <w:tcW w:w="705" w:type="dxa"/>
            <w:vMerge/>
            <w:tcBorders>
              <w:left w:val="single" w:sz="8" w:space="0" w:color="auto"/>
              <w:bottom w:val="single" w:sz="8" w:space="0" w:color="auto"/>
              <w:right w:val="single" w:sz="8" w:space="0" w:color="auto"/>
            </w:tcBorders>
            <w:shd w:val="clear" w:color="auto" w:fill="auto"/>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p>
        </w:tc>
        <w:tc>
          <w:tcPr>
            <w:tcW w:w="620" w:type="dxa"/>
            <w:vMerge/>
            <w:tcBorders>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p>
        </w:tc>
        <w:tc>
          <w:tcPr>
            <w:tcW w:w="620" w:type="dxa"/>
            <w:vMerge/>
            <w:tcBorders>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p>
        </w:tc>
        <w:tc>
          <w:tcPr>
            <w:tcW w:w="620" w:type="dxa"/>
            <w:vMerge/>
            <w:tcBorders>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p>
        </w:tc>
        <w:tc>
          <w:tcPr>
            <w:tcW w:w="555" w:type="dxa"/>
            <w:tcBorders>
              <w:top w:val="single" w:sz="18" w:space="0" w:color="auto"/>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a)</w:t>
            </w:r>
          </w:p>
        </w:tc>
        <w:tc>
          <w:tcPr>
            <w:tcW w:w="579" w:type="dxa"/>
            <w:tcBorders>
              <w:top w:val="single" w:sz="18" w:space="0" w:color="auto"/>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b)</w:t>
            </w:r>
          </w:p>
        </w:tc>
        <w:tc>
          <w:tcPr>
            <w:tcW w:w="567" w:type="dxa"/>
            <w:tcBorders>
              <w:top w:val="single" w:sz="18" w:space="0" w:color="auto"/>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c)</w:t>
            </w:r>
          </w:p>
        </w:tc>
        <w:tc>
          <w:tcPr>
            <w:tcW w:w="567" w:type="dxa"/>
            <w:tcBorders>
              <w:top w:val="single" w:sz="18" w:space="0" w:color="auto"/>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d)</w:t>
            </w:r>
          </w:p>
        </w:tc>
        <w:tc>
          <w:tcPr>
            <w:tcW w:w="638" w:type="dxa"/>
            <w:tcBorders>
              <w:top w:val="single" w:sz="18" w:space="0" w:color="auto"/>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hiány</w:t>
            </w:r>
          </w:p>
        </w:tc>
        <w:tc>
          <w:tcPr>
            <w:tcW w:w="567" w:type="dxa"/>
            <w:vMerge/>
            <w:tcBorders>
              <w:left w:val="single" w:sz="8" w:space="0" w:color="auto"/>
              <w:bottom w:val="single" w:sz="8" w:space="0" w:color="auto"/>
              <w:right w:val="single" w:sz="8" w:space="0" w:color="auto"/>
            </w:tcBorders>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p>
        </w:tc>
        <w:tc>
          <w:tcPr>
            <w:tcW w:w="567" w:type="dxa"/>
            <w:tcBorders>
              <w:top w:val="single" w:sz="18" w:space="0" w:color="auto"/>
              <w:left w:val="single" w:sz="8" w:space="0" w:color="auto"/>
              <w:bottom w:val="single" w:sz="8" w:space="0" w:color="auto"/>
              <w:right w:val="single" w:sz="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hat.</w:t>
            </w:r>
          </w:p>
        </w:tc>
        <w:tc>
          <w:tcPr>
            <w:tcW w:w="567" w:type="dxa"/>
            <w:tcBorders>
              <w:top w:val="single" w:sz="18" w:space="0" w:color="auto"/>
              <w:left w:val="single" w:sz="8" w:space="0" w:color="auto"/>
              <w:bottom w:val="single" w:sz="8" w:space="0" w:color="auto"/>
              <w:right w:val="single" w:sz="18" w:space="0" w:color="auto"/>
            </w:tcBorders>
            <w:shd w:val="clear" w:color="auto" w:fill="auto"/>
            <w:noWrap/>
            <w:vAlign w:val="center"/>
          </w:tcPr>
          <w:p w:rsidR="006B539C" w:rsidRPr="006B539C" w:rsidRDefault="006B539C" w:rsidP="006B539C">
            <w:pPr>
              <w:jc w:val="center"/>
              <w:rPr>
                <w:rFonts w:ascii="Times New Roman" w:eastAsia="Times New Roman" w:hAnsi="Times New Roman" w:cs="Times New Roman"/>
                <w:b/>
                <w:bCs/>
                <w:color w:val="000000"/>
                <w:sz w:val="16"/>
                <w:szCs w:val="16"/>
                <w:lang w:eastAsia="hu-HU"/>
              </w:rPr>
            </w:pPr>
            <w:r w:rsidRPr="006B539C">
              <w:rPr>
                <w:rFonts w:ascii="Times New Roman" w:eastAsia="Times New Roman" w:hAnsi="Times New Roman" w:cs="Times New Roman"/>
                <w:b/>
                <w:bCs/>
                <w:color w:val="000000"/>
                <w:sz w:val="16"/>
                <w:szCs w:val="16"/>
                <w:lang w:eastAsia="hu-HU"/>
              </w:rPr>
              <w:t>illet.</w:t>
            </w:r>
          </w:p>
        </w:tc>
      </w:tr>
      <w:tr w:rsidR="006B539C" w:rsidRPr="00510CBB" w:rsidTr="007F54B5">
        <w:trPr>
          <w:trHeight w:val="255"/>
        </w:trPr>
        <w:tc>
          <w:tcPr>
            <w:tcW w:w="1194" w:type="dxa"/>
            <w:tcBorders>
              <w:top w:val="single" w:sz="18" w:space="0" w:color="auto"/>
              <w:left w:val="single" w:sz="18" w:space="0" w:color="auto"/>
              <w:bottom w:val="single" w:sz="8" w:space="0" w:color="auto"/>
              <w:right w:val="single" w:sz="8" w:space="0" w:color="auto"/>
            </w:tcBorders>
            <w:shd w:val="clear" w:color="auto" w:fill="auto"/>
            <w:noWrap/>
            <w:vAlign w:val="bottom"/>
          </w:tcPr>
          <w:p w:rsidR="006B539C" w:rsidRPr="00A816CD" w:rsidRDefault="006B539C" w:rsidP="00510CBB">
            <w:pPr>
              <w:jc w:val="center"/>
              <w:rPr>
                <w:rFonts w:ascii="Times New Roman" w:eastAsia="Times New Roman" w:hAnsi="Times New Roman" w:cs="Times New Roman"/>
                <w:b/>
                <w:bCs/>
                <w:i/>
                <w:color w:val="000000"/>
                <w:sz w:val="20"/>
                <w:szCs w:val="20"/>
                <w:lang w:eastAsia="hu-HU"/>
              </w:rPr>
            </w:pPr>
            <w:r w:rsidRPr="00A816CD">
              <w:rPr>
                <w:rFonts w:ascii="Times New Roman" w:eastAsia="Times New Roman" w:hAnsi="Times New Roman" w:cs="Times New Roman"/>
                <w:b/>
                <w:bCs/>
                <w:i/>
                <w:color w:val="000000"/>
                <w:sz w:val="20"/>
                <w:szCs w:val="20"/>
                <w:lang w:eastAsia="hu-HU"/>
              </w:rPr>
              <w:t>termék I.</w:t>
            </w:r>
          </w:p>
        </w:tc>
        <w:tc>
          <w:tcPr>
            <w:tcW w:w="705" w:type="dxa"/>
            <w:tcBorders>
              <w:top w:val="single" w:sz="18" w:space="0" w:color="auto"/>
              <w:left w:val="single" w:sz="8" w:space="0" w:color="auto"/>
              <w:bottom w:val="single" w:sz="8" w:space="0" w:color="auto"/>
              <w:right w:val="single" w:sz="8" w:space="0" w:color="auto"/>
            </w:tcBorders>
            <w:shd w:val="clear" w:color="auto" w:fill="auto"/>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110</w:t>
            </w:r>
          </w:p>
        </w:tc>
        <w:tc>
          <w:tcPr>
            <w:tcW w:w="620"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10</w:t>
            </w:r>
          </w:p>
        </w:tc>
        <w:tc>
          <w:tcPr>
            <w:tcW w:w="620"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7</w:t>
            </w:r>
          </w:p>
        </w:tc>
        <w:tc>
          <w:tcPr>
            <w:tcW w:w="620"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52</w:t>
            </w:r>
          </w:p>
        </w:tc>
        <w:tc>
          <w:tcPr>
            <w:tcW w:w="555"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6</w:t>
            </w:r>
          </w:p>
        </w:tc>
        <w:tc>
          <w:tcPr>
            <w:tcW w:w="579"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6</w:t>
            </w:r>
          </w:p>
        </w:tc>
        <w:tc>
          <w:tcPr>
            <w:tcW w:w="567"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19</w:t>
            </w:r>
          </w:p>
        </w:tc>
        <w:tc>
          <w:tcPr>
            <w:tcW w:w="567"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8</w:t>
            </w:r>
          </w:p>
        </w:tc>
        <w:tc>
          <w:tcPr>
            <w:tcW w:w="638"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0</w:t>
            </w:r>
          </w:p>
        </w:tc>
        <w:tc>
          <w:tcPr>
            <w:tcW w:w="567" w:type="dxa"/>
            <w:tcBorders>
              <w:top w:val="single" w:sz="18" w:space="0" w:color="auto"/>
              <w:left w:val="single" w:sz="8" w:space="0" w:color="auto"/>
              <w:bottom w:val="single" w:sz="8" w:space="0" w:color="auto"/>
              <w:right w:val="single" w:sz="8" w:space="0" w:color="auto"/>
            </w:tcBorders>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1</w:t>
            </w:r>
          </w:p>
        </w:tc>
        <w:tc>
          <w:tcPr>
            <w:tcW w:w="567"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0</w:t>
            </w:r>
          </w:p>
        </w:tc>
        <w:tc>
          <w:tcPr>
            <w:tcW w:w="567" w:type="dxa"/>
            <w:tcBorders>
              <w:top w:val="single" w:sz="18" w:space="0" w:color="auto"/>
              <w:left w:val="single" w:sz="8" w:space="0" w:color="auto"/>
              <w:bottom w:val="single" w:sz="8" w:space="0" w:color="auto"/>
              <w:right w:val="single" w:sz="1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1</w:t>
            </w:r>
          </w:p>
        </w:tc>
      </w:tr>
      <w:tr w:rsidR="006B539C" w:rsidRPr="00510CBB" w:rsidTr="007F54B5">
        <w:trPr>
          <w:trHeight w:val="255"/>
        </w:trPr>
        <w:tc>
          <w:tcPr>
            <w:tcW w:w="1194" w:type="dxa"/>
            <w:tcBorders>
              <w:top w:val="single" w:sz="8" w:space="0" w:color="auto"/>
              <w:left w:val="single" w:sz="18" w:space="0" w:color="auto"/>
              <w:bottom w:val="single" w:sz="8" w:space="0" w:color="auto"/>
              <w:right w:val="single" w:sz="8" w:space="0" w:color="auto"/>
            </w:tcBorders>
            <w:shd w:val="clear" w:color="auto" w:fill="auto"/>
            <w:noWrap/>
            <w:vAlign w:val="bottom"/>
          </w:tcPr>
          <w:p w:rsidR="006B539C" w:rsidRPr="00A816CD" w:rsidRDefault="006B539C" w:rsidP="00510CBB">
            <w:pPr>
              <w:jc w:val="center"/>
              <w:rPr>
                <w:rFonts w:ascii="Times New Roman" w:eastAsia="Times New Roman" w:hAnsi="Times New Roman" w:cs="Times New Roman"/>
                <w:b/>
                <w:bCs/>
                <w:i/>
                <w:color w:val="000000"/>
                <w:sz w:val="20"/>
                <w:szCs w:val="20"/>
                <w:lang w:eastAsia="hu-HU"/>
              </w:rPr>
            </w:pPr>
            <w:r w:rsidRPr="00A816CD">
              <w:rPr>
                <w:rFonts w:ascii="Times New Roman" w:eastAsia="Times New Roman" w:hAnsi="Times New Roman" w:cs="Times New Roman"/>
                <w:b/>
                <w:bCs/>
                <w:i/>
                <w:color w:val="000000"/>
                <w:sz w:val="20"/>
                <w:szCs w:val="20"/>
                <w:lang w:eastAsia="hu-HU"/>
              </w:rPr>
              <w:t>termék II.</w:t>
            </w:r>
          </w:p>
        </w:tc>
        <w:tc>
          <w:tcPr>
            <w:tcW w:w="705" w:type="dxa"/>
            <w:tcBorders>
              <w:top w:val="single" w:sz="8" w:space="0" w:color="auto"/>
              <w:left w:val="single" w:sz="8" w:space="0" w:color="auto"/>
              <w:bottom w:val="single" w:sz="8" w:space="0" w:color="auto"/>
              <w:right w:val="single" w:sz="8" w:space="0" w:color="auto"/>
            </w:tcBorders>
            <w:shd w:val="clear" w:color="auto" w:fill="auto"/>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95</w:t>
            </w:r>
          </w:p>
        </w:tc>
        <w:tc>
          <w:tcPr>
            <w:tcW w:w="6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16</w:t>
            </w:r>
          </w:p>
        </w:tc>
        <w:tc>
          <w:tcPr>
            <w:tcW w:w="6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2</w:t>
            </w:r>
          </w:p>
        </w:tc>
        <w:tc>
          <w:tcPr>
            <w:tcW w:w="6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41</w:t>
            </w:r>
          </w:p>
        </w:tc>
        <w:tc>
          <w:tcPr>
            <w:tcW w:w="555" w:type="dxa"/>
            <w:tcBorders>
              <w:top w:val="single" w:sz="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3</w:t>
            </w:r>
          </w:p>
        </w:tc>
        <w:tc>
          <w:tcPr>
            <w:tcW w:w="579" w:type="dxa"/>
            <w:tcBorders>
              <w:top w:val="single" w:sz="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6</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20</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20</w:t>
            </w:r>
          </w:p>
        </w:tc>
        <w:tc>
          <w:tcPr>
            <w:tcW w:w="638" w:type="dxa"/>
            <w:tcBorders>
              <w:top w:val="single" w:sz="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1</w:t>
            </w:r>
          </w:p>
        </w:tc>
        <w:tc>
          <w:tcPr>
            <w:tcW w:w="567" w:type="dxa"/>
            <w:tcBorders>
              <w:top w:val="single" w:sz="8" w:space="0" w:color="auto"/>
              <w:left w:val="single" w:sz="8" w:space="0" w:color="auto"/>
              <w:bottom w:val="single" w:sz="8" w:space="0" w:color="auto"/>
              <w:right w:val="single" w:sz="8" w:space="0" w:color="auto"/>
            </w:tcBorders>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1</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0</w:t>
            </w:r>
          </w:p>
        </w:tc>
        <w:tc>
          <w:tcPr>
            <w:tcW w:w="567" w:type="dxa"/>
            <w:tcBorders>
              <w:top w:val="single" w:sz="8" w:space="0" w:color="auto"/>
              <w:left w:val="single" w:sz="8" w:space="0" w:color="auto"/>
              <w:bottom w:val="single" w:sz="8" w:space="0" w:color="auto"/>
              <w:right w:val="single" w:sz="1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2</w:t>
            </w:r>
          </w:p>
        </w:tc>
      </w:tr>
      <w:tr w:rsidR="006B539C" w:rsidRPr="00510CBB" w:rsidTr="007F54B5">
        <w:trPr>
          <w:trHeight w:val="255"/>
        </w:trPr>
        <w:tc>
          <w:tcPr>
            <w:tcW w:w="1194" w:type="dxa"/>
            <w:tcBorders>
              <w:top w:val="single" w:sz="8" w:space="0" w:color="auto"/>
              <w:left w:val="single" w:sz="1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mindössz.</w:t>
            </w:r>
          </w:p>
        </w:tc>
        <w:tc>
          <w:tcPr>
            <w:tcW w:w="705" w:type="dxa"/>
            <w:tcBorders>
              <w:top w:val="single" w:sz="8" w:space="0" w:color="auto"/>
              <w:left w:val="single" w:sz="8" w:space="0" w:color="auto"/>
              <w:bottom w:val="single" w:sz="18" w:space="0" w:color="auto"/>
              <w:right w:val="single" w:sz="8" w:space="0" w:color="auto"/>
            </w:tcBorders>
            <w:shd w:val="clear" w:color="auto" w:fill="auto"/>
            <w:vAlign w:val="bottom"/>
          </w:tcPr>
          <w:p w:rsidR="006B539C"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fldChar w:fldCharType="begin"/>
            </w:r>
            <w:r>
              <w:rPr>
                <w:rFonts w:ascii="Times New Roman" w:eastAsia="Times New Roman" w:hAnsi="Times New Roman" w:cs="Times New Roman"/>
                <w:b/>
                <w:bCs/>
                <w:color w:val="000000"/>
                <w:sz w:val="20"/>
                <w:szCs w:val="20"/>
                <w:lang w:eastAsia="hu-HU"/>
              </w:rPr>
              <w:instrText xml:space="preserve"> =SUM(ABOVE) </w:instrText>
            </w:r>
            <w:r>
              <w:rPr>
                <w:rFonts w:ascii="Times New Roman" w:eastAsia="Times New Roman" w:hAnsi="Times New Roman" w:cs="Times New Roman"/>
                <w:b/>
                <w:bCs/>
                <w:color w:val="000000"/>
                <w:sz w:val="20"/>
                <w:szCs w:val="20"/>
                <w:lang w:eastAsia="hu-HU"/>
              </w:rPr>
              <w:fldChar w:fldCharType="separate"/>
            </w:r>
            <w:r>
              <w:rPr>
                <w:rFonts w:ascii="Times New Roman" w:eastAsia="Times New Roman" w:hAnsi="Times New Roman" w:cs="Times New Roman"/>
                <w:b/>
                <w:bCs/>
                <w:noProof/>
                <w:color w:val="000000"/>
                <w:sz w:val="20"/>
                <w:szCs w:val="20"/>
                <w:lang w:eastAsia="hu-HU"/>
              </w:rPr>
              <w:t>205</w:t>
            </w:r>
            <w:r>
              <w:rPr>
                <w:rFonts w:ascii="Times New Roman" w:eastAsia="Times New Roman" w:hAnsi="Times New Roman" w:cs="Times New Roman"/>
                <w:b/>
                <w:bCs/>
                <w:color w:val="000000"/>
                <w:sz w:val="20"/>
                <w:szCs w:val="20"/>
                <w:lang w:eastAsia="hu-HU"/>
              </w:rPr>
              <w:fldChar w:fldCharType="end"/>
            </w:r>
          </w:p>
        </w:tc>
        <w:tc>
          <w:tcPr>
            <w:tcW w:w="620" w:type="dxa"/>
            <w:tcBorders>
              <w:top w:val="single" w:sz="8" w:space="0" w:color="auto"/>
              <w:left w:val="single" w:sz="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26</w:t>
            </w:r>
          </w:p>
        </w:tc>
        <w:tc>
          <w:tcPr>
            <w:tcW w:w="620" w:type="dxa"/>
            <w:tcBorders>
              <w:top w:val="single" w:sz="8" w:space="0" w:color="auto"/>
              <w:left w:val="single" w:sz="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9</w:t>
            </w:r>
          </w:p>
        </w:tc>
        <w:tc>
          <w:tcPr>
            <w:tcW w:w="620" w:type="dxa"/>
            <w:tcBorders>
              <w:top w:val="single" w:sz="8" w:space="0" w:color="auto"/>
              <w:left w:val="single" w:sz="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fldChar w:fldCharType="begin"/>
            </w:r>
            <w:r>
              <w:rPr>
                <w:rFonts w:ascii="Times New Roman" w:eastAsia="Times New Roman" w:hAnsi="Times New Roman" w:cs="Times New Roman"/>
                <w:b/>
                <w:bCs/>
                <w:color w:val="000000"/>
                <w:sz w:val="20"/>
                <w:szCs w:val="20"/>
                <w:lang w:eastAsia="hu-HU"/>
              </w:rPr>
              <w:instrText xml:space="preserve"> =SUM(ABOVE) </w:instrText>
            </w:r>
            <w:r>
              <w:rPr>
                <w:rFonts w:ascii="Times New Roman" w:eastAsia="Times New Roman" w:hAnsi="Times New Roman" w:cs="Times New Roman"/>
                <w:b/>
                <w:bCs/>
                <w:color w:val="000000"/>
                <w:sz w:val="20"/>
                <w:szCs w:val="20"/>
                <w:lang w:eastAsia="hu-HU"/>
              </w:rPr>
              <w:fldChar w:fldCharType="separate"/>
            </w:r>
            <w:r>
              <w:rPr>
                <w:rFonts w:ascii="Times New Roman" w:eastAsia="Times New Roman" w:hAnsi="Times New Roman" w:cs="Times New Roman"/>
                <w:b/>
                <w:bCs/>
                <w:noProof/>
                <w:color w:val="000000"/>
                <w:sz w:val="20"/>
                <w:szCs w:val="20"/>
                <w:lang w:eastAsia="hu-HU"/>
              </w:rPr>
              <w:t>93</w:t>
            </w:r>
            <w:r>
              <w:rPr>
                <w:rFonts w:ascii="Times New Roman" w:eastAsia="Times New Roman" w:hAnsi="Times New Roman" w:cs="Times New Roman"/>
                <w:b/>
                <w:bCs/>
                <w:color w:val="000000"/>
                <w:sz w:val="20"/>
                <w:szCs w:val="20"/>
                <w:lang w:eastAsia="hu-HU"/>
              </w:rPr>
              <w:fldChar w:fldCharType="end"/>
            </w:r>
          </w:p>
        </w:tc>
        <w:tc>
          <w:tcPr>
            <w:tcW w:w="555" w:type="dxa"/>
            <w:tcBorders>
              <w:top w:val="single" w:sz="8" w:space="0" w:color="auto"/>
              <w:left w:val="single" w:sz="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9</w:t>
            </w:r>
          </w:p>
        </w:tc>
        <w:tc>
          <w:tcPr>
            <w:tcW w:w="579" w:type="dxa"/>
            <w:tcBorders>
              <w:top w:val="single" w:sz="8" w:space="0" w:color="auto"/>
              <w:left w:val="single" w:sz="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12</w:t>
            </w:r>
          </w:p>
        </w:tc>
        <w:tc>
          <w:tcPr>
            <w:tcW w:w="567" w:type="dxa"/>
            <w:tcBorders>
              <w:top w:val="single" w:sz="8" w:space="0" w:color="auto"/>
              <w:left w:val="single" w:sz="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39</w:t>
            </w:r>
          </w:p>
        </w:tc>
        <w:tc>
          <w:tcPr>
            <w:tcW w:w="567" w:type="dxa"/>
            <w:tcBorders>
              <w:top w:val="single" w:sz="8" w:space="0" w:color="auto"/>
              <w:left w:val="single" w:sz="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28</w:t>
            </w:r>
          </w:p>
        </w:tc>
        <w:tc>
          <w:tcPr>
            <w:tcW w:w="638" w:type="dxa"/>
            <w:tcBorders>
              <w:top w:val="single" w:sz="8" w:space="0" w:color="auto"/>
              <w:left w:val="single" w:sz="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1</w:t>
            </w:r>
          </w:p>
        </w:tc>
        <w:tc>
          <w:tcPr>
            <w:tcW w:w="567" w:type="dxa"/>
            <w:tcBorders>
              <w:top w:val="single" w:sz="8" w:space="0" w:color="auto"/>
              <w:left w:val="single" w:sz="8" w:space="0" w:color="auto"/>
              <w:bottom w:val="single" w:sz="18" w:space="0" w:color="auto"/>
              <w:right w:val="single" w:sz="8" w:space="0" w:color="auto"/>
            </w:tcBorders>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2</w:t>
            </w:r>
          </w:p>
        </w:tc>
        <w:tc>
          <w:tcPr>
            <w:tcW w:w="567" w:type="dxa"/>
            <w:tcBorders>
              <w:top w:val="single" w:sz="8" w:space="0" w:color="auto"/>
              <w:left w:val="single" w:sz="8" w:space="0" w:color="auto"/>
              <w:bottom w:val="single" w:sz="1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0</w:t>
            </w:r>
          </w:p>
        </w:tc>
        <w:tc>
          <w:tcPr>
            <w:tcW w:w="567" w:type="dxa"/>
            <w:tcBorders>
              <w:top w:val="single" w:sz="8" w:space="0" w:color="auto"/>
              <w:left w:val="single" w:sz="8" w:space="0" w:color="auto"/>
              <w:bottom w:val="single" w:sz="18" w:space="0" w:color="auto"/>
              <w:right w:val="single" w:sz="1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3</w:t>
            </w:r>
          </w:p>
        </w:tc>
      </w:tr>
      <w:tr w:rsidR="006B539C" w:rsidRPr="00510CBB" w:rsidTr="007F54B5">
        <w:trPr>
          <w:trHeight w:val="255"/>
        </w:trPr>
        <w:tc>
          <w:tcPr>
            <w:tcW w:w="1194"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705" w:type="dxa"/>
            <w:tcBorders>
              <w:top w:val="single" w:sz="18" w:space="0" w:color="auto"/>
              <w:left w:val="single" w:sz="4" w:space="0" w:color="auto"/>
              <w:bottom w:val="single" w:sz="18" w:space="0" w:color="auto"/>
              <w:right w:val="single" w:sz="4" w:space="0" w:color="auto"/>
            </w:tcBorders>
            <w:shd w:val="clear" w:color="auto" w:fill="auto"/>
            <w:vAlign w:val="bottom"/>
          </w:tcPr>
          <w:p w:rsidR="006B539C" w:rsidRDefault="006B539C" w:rsidP="00510CBB">
            <w:pPr>
              <w:jc w:val="center"/>
              <w:rPr>
                <w:rFonts w:ascii="Times New Roman" w:eastAsia="Times New Roman" w:hAnsi="Times New Roman" w:cs="Times New Roman"/>
                <w:b/>
                <w:bCs/>
                <w:color w:val="000000"/>
                <w:sz w:val="20"/>
                <w:szCs w:val="20"/>
                <w:lang w:eastAsia="hu-HU"/>
              </w:rPr>
            </w:pPr>
          </w:p>
        </w:tc>
        <w:tc>
          <w:tcPr>
            <w:tcW w:w="620"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620"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620"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555"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579"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567"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567"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638"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567" w:type="dxa"/>
            <w:tcBorders>
              <w:top w:val="single" w:sz="18" w:space="0" w:color="auto"/>
              <w:left w:val="single" w:sz="4" w:space="0" w:color="auto"/>
              <w:bottom w:val="single" w:sz="18" w:space="0" w:color="auto"/>
              <w:right w:val="single" w:sz="4" w:space="0" w:color="auto"/>
            </w:tcBorders>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567"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c>
          <w:tcPr>
            <w:tcW w:w="567" w:type="dxa"/>
            <w:tcBorders>
              <w:top w:val="single" w:sz="18" w:space="0" w:color="auto"/>
              <w:left w:val="single" w:sz="4" w:space="0" w:color="auto"/>
              <w:bottom w:val="single" w:sz="18" w:space="0" w:color="auto"/>
              <w:right w:val="single" w:sz="4"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p>
        </w:tc>
      </w:tr>
      <w:tr w:rsidR="006B539C" w:rsidRPr="00510CBB" w:rsidTr="007F54B5">
        <w:trPr>
          <w:trHeight w:val="255"/>
        </w:trPr>
        <w:tc>
          <w:tcPr>
            <w:tcW w:w="1194" w:type="dxa"/>
            <w:tcBorders>
              <w:top w:val="single" w:sz="18" w:space="0" w:color="auto"/>
              <w:left w:val="single" w:sz="18" w:space="0" w:color="auto"/>
              <w:bottom w:val="single" w:sz="8" w:space="0" w:color="auto"/>
              <w:right w:val="single" w:sz="8" w:space="0" w:color="auto"/>
            </w:tcBorders>
            <w:shd w:val="clear" w:color="auto" w:fill="auto"/>
            <w:noWrap/>
            <w:vAlign w:val="bottom"/>
          </w:tcPr>
          <w:p w:rsidR="006B539C" w:rsidRPr="00A816CD" w:rsidRDefault="006B539C" w:rsidP="00510CBB">
            <w:pPr>
              <w:jc w:val="center"/>
              <w:rPr>
                <w:rFonts w:ascii="Times New Roman" w:eastAsia="Times New Roman" w:hAnsi="Times New Roman" w:cs="Times New Roman"/>
                <w:b/>
                <w:bCs/>
                <w:i/>
                <w:color w:val="000000"/>
                <w:sz w:val="20"/>
                <w:szCs w:val="20"/>
                <w:lang w:eastAsia="hu-HU"/>
              </w:rPr>
            </w:pPr>
            <w:r w:rsidRPr="00A816CD">
              <w:rPr>
                <w:rFonts w:ascii="Times New Roman" w:eastAsia="Times New Roman" w:hAnsi="Times New Roman" w:cs="Times New Roman"/>
                <w:b/>
                <w:bCs/>
                <w:i/>
                <w:color w:val="000000"/>
                <w:sz w:val="20"/>
                <w:szCs w:val="20"/>
                <w:lang w:eastAsia="hu-HU"/>
              </w:rPr>
              <w:t>szolgált. I.</w:t>
            </w:r>
          </w:p>
        </w:tc>
        <w:tc>
          <w:tcPr>
            <w:tcW w:w="705" w:type="dxa"/>
            <w:tcBorders>
              <w:top w:val="single" w:sz="18" w:space="0" w:color="auto"/>
              <w:left w:val="single" w:sz="8" w:space="0" w:color="auto"/>
              <w:bottom w:val="single" w:sz="8" w:space="0" w:color="auto"/>
              <w:right w:val="single" w:sz="8" w:space="0" w:color="auto"/>
            </w:tcBorders>
            <w:shd w:val="clear" w:color="auto" w:fill="auto"/>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49</w:t>
            </w:r>
          </w:p>
        </w:tc>
        <w:tc>
          <w:tcPr>
            <w:tcW w:w="620"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3</w:t>
            </w:r>
          </w:p>
        </w:tc>
        <w:tc>
          <w:tcPr>
            <w:tcW w:w="620"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1</w:t>
            </w:r>
          </w:p>
        </w:tc>
        <w:tc>
          <w:tcPr>
            <w:tcW w:w="620"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7</w:t>
            </w:r>
          </w:p>
        </w:tc>
        <w:tc>
          <w:tcPr>
            <w:tcW w:w="555"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5</w:t>
            </w:r>
          </w:p>
        </w:tc>
        <w:tc>
          <w:tcPr>
            <w:tcW w:w="579" w:type="dxa"/>
            <w:tcBorders>
              <w:top w:val="single" w:sz="18" w:space="0" w:color="auto"/>
              <w:left w:val="single" w:sz="8" w:space="0" w:color="auto"/>
              <w:bottom w:val="single" w:sz="8" w:space="0" w:color="auto"/>
              <w:right w:val="single" w:sz="8" w:space="0" w:color="auto"/>
            </w:tcBorders>
            <w:shd w:val="clear" w:color="auto" w:fill="auto"/>
            <w:noWrap/>
            <w:vAlign w:val="center"/>
          </w:tcPr>
          <w:p w:rsidR="006B539C" w:rsidRPr="00510CBB" w:rsidRDefault="006B539C" w:rsidP="00A816CD">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2</w:t>
            </w:r>
          </w:p>
        </w:tc>
        <w:tc>
          <w:tcPr>
            <w:tcW w:w="567"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11</w:t>
            </w:r>
          </w:p>
        </w:tc>
        <w:tc>
          <w:tcPr>
            <w:tcW w:w="567"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11</w:t>
            </w:r>
          </w:p>
        </w:tc>
        <w:tc>
          <w:tcPr>
            <w:tcW w:w="638"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1</w:t>
            </w:r>
          </w:p>
        </w:tc>
        <w:tc>
          <w:tcPr>
            <w:tcW w:w="567" w:type="dxa"/>
            <w:tcBorders>
              <w:top w:val="single" w:sz="18" w:space="0" w:color="auto"/>
              <w:left w:val="single" w:sz="8" w:space="0" w:color="auto"/>
              <w:bottom w:val="single" w:sz="8" w:space="0" w:color="auto"/>
              <w:right w:val="single" w:sz="8" w:space="0" w:color="auto"/>
            </w:tcBorders>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Pr>
                <w:rFonts w:ascii="Times New Roman" w:eastAsia="Times New Roman" w:hAnsi="Times New Roman" w:cs="Times New Roman"/>
                <w:b/>
                <w:bCs/>
                <w:color w:val="002060"/>
                <w:sz w:val="20"/>
                <w:szCs w:val="20"/>
                <w:lang w:eastAsia="hu-HU"/>
              </w:rPr>
              <w:t>2</w:t>
            </w:r>
          </w:p>
        </w:tc>
        <w:tc>
          <w:tcPr>
            <w:tcW w:w="567" w:type="dxa"/>
            <w:tcBorders>
              <w:top w:val="single" w:sz="18" w:space="0" w:color="auto"/>
              <w:left w:val="single" w:sz="8" w:space="0" w:color="auto"/>
              <w:bottom w:val="single" w:sz="8" w:space="0" w:color="auto"/>
              <w:right w:val="single" w:sz="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5</w:t>
            </w:r>
          </w:p>
        </w:tc>
        <w:tc>
          <w:tcPr>
            <w:tcW w:w="567" w:type="dxa"/>
            <w:tcBorders>
              <w:top w:val="single" w:sz="18" w:space="0" w:color="auto"/>
              <w:left w:val="single" w:sz="8" w:space="0" w:color="auto"/>
              <w:bottom w:val="single" w:sz="8" w:space="0" w:color="auto"/>
              <w:right w:val="single" w:sz="18" w:space="0" w:color="auto"/>
            </w:tcBorders>
            <w:shd w:val="clear" w:color="auto" w:fill="auto"/>
            <w:noWrap/>
            <w:vAlign w:val="bottom"/>
          </w:tcPr>
          <w:p w:rsidR="006B539C" w:rsidRPr="00510CBB" w:rsidRDefault="006B539C" w:rsidP="00510CBB">
            <w:pPr>
              <w:jc w:val="center"/>
              <w:rPr>
                <w:rFonts w:ascii="Times New Roman" w:eastAsia="Times New Roman" w:hAnsi="Times New Roman" w:cs="Times New Roman"/>
                <w:b/>
                <w:bCs/>
                <w:color w:val="002060"/>
                <w:sz w:val="20"/>
                <w:szCs w:val="20"/>
                <w:lang w:eastAsia="hu-HU"/>
              </w:rPr>
            </w:pPr>
            <w:r w:rsidRPr="00510CBB">
              <w:rPr>
                <w:rFonts w:ascii="Times New Roman" w:eastAsia="Times New Roman" w:hAnsi="Times New Roman" w:cs="Times New Roman"/>
                <w:b/>
                <w:bCs/>
                <w:color w:val="002060"/>
                <w:sz w:val="20"/>
                <w:szCs w:val="20"/>
                <w:lang w:eastAsia="hu-HU"/>
              </w:rPr>
              <w:t>1</w:t>
            </w:r>
          </w:p>
        </w:tc>
      </w:tr>
      <w:tr w:rsidR="006B539C" w:rsidRPr="001C2761" w:rsidTr="007F54B5">
        <w:trPr>
          <w:trHeight w:val="255"/>
        </w:trPr>
        <w:tc>
          <w:tcPr>
            <w:tcW w:w="1194" w:type="dxa"/>
            <w:tcBorders>
              <w:top w:val="single" w:sz="8" w:space="0" w:color="auto"/>
              <w:left w:val="single" w:sz="18" w:space="0" w:color="auto"/>
              <w:bottom w:val="single" w:sz="8" w:space="0" w:color="auto"/>
              <w:right w:val="single" w:sz="8" w:space="0" w:color="auto"/>
            </w:tcBorders>
            <w:shd w:val="clear" w:color="auto" w:fill="auto"/>
            <w:noWrap/>
            <w:vAlign w:val="bottom"/>
          </w:tcPr>
          <w:p w:rsidR="006B539C" w:rsidRPr="00A816CD" w:rsidRDefault="006B539C" w:rsidP="00510CBB">
            <w:pPr>
              <w:jc w:val="center"/>
              <w:rPr>
                <w:rFonts w:ascii="Times New Roman" w:eastAsia="Times New Roman" w:hAnsi="Times New Roman" w:cs="Times New Roman"/>
                <w:b/>
                <w:bCs/>
                <w:i/>
                <w:color w:val="000000"/>
                <w:sz w:val="20"/>
                <w:szCs w:val="20"/>
                <w:lang w:eastAsia="hu-HU"/>
              </w:rPr>
            </w:pPr>
            <w:r w:rsidRPr="00A816CD">
              <w:rPr>
                <w:rFonts w:ascii="Times New Roman" w:eastAsia="Times New Roman" w:hAnsi="Times New Roman" w:cs="Times New Roman"/>
                <w:b/>
                <w:bCs/>
                <w:i/>
                <w:color w:val="000000"/>
                <w:sz w:val="20"/>
                <w:szCs w:val="20"/>
                <w:lang w:eastAsia="hu-HU"/>
              </w:rPr>
              <w:t>szolgált. II.</w:t>
            </w:r>
          </w:p>
        </w:tc>
        <w:tc>
          <w:tcPr>
            <w:tcW w:w="705" w:type="dxa"/>
            <w:tcBorders>
              <w:top w:val="single" w:sz="8" w:space="0" w:color="auto"/>
              <w:left w:val="single" w:sz="8" w:space="0" w:color="auto"/>
              <w:bottom w:val="single" w:sz="8" w:space="0" w:color="auto"/>
              <w:right w:val="single" w:sz="8" w:space="0" w:color="auto"/>
            </w:tcBorders>
            <w:shd w:val="clear" w:color="auto" w:fill="auto"/>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sidRPr="00510CBB">
              <w:rPr>
                <w:rFonts w:ascii="Times New Roman" w:eastAsia="Times New Roman" w:hAnsi="Times New Roman" w:cs="Times New Roman"/>
                <w:b/>
                <w:bCs/>
                <w:color w:val="000000"/>
                <w:sz w:val="20"/>
                <w:szCs w:val="20"/>
                <w:lang w:eastAsia="hu-HU"/>
              </w:rPr>
              <w:t>63</w:t>
            </w:r>
          </w:p>
        </w:tc>
        <w:tc>
          <w:tcPr>
            <w:tcW w:w="620" w:type="dxa"/>
            <w:tcBorders>
              <w:top w:val="single" w:sz="8" w:space="0" w:color="auto"/>
              <w:left w:val="single" w:sz="8" w:space="0" w:color="auto"/>
              <w:bottom w:val="single" w:sz="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5</w:t>
            </w:r>
          </w:p>
        </w:tc>
        <w:tc>
          <w:tcPr>
            <w:tcW w:w="620" w:type="dxa"/>
            <w:tcBorders>
              <w:top w:val="single" w:sz="8" w:space="0" w:color="auto"/>
              <w:left w:val="single" w:sz="8" w:space="0" w:color="auto"/>
              <w:bottom w:val="single" w:sz="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0</w:t>
            </w:r>
          </w:p>
        </w:tc>
        <w:tc>
          <w:tcPr>
            <w:tcW w:w="620" w:type="dxa"/>
            <w:tcBorders>
              <w:top w:val="single" w:sz="8" w:space="0" w:color="auto"/>
              <w:left w:val="single" w:sz="8" w:space="0" w:color="auto"/>
              <w:bottom w:val="single" w:sz="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20</w:t>
            </w:r>
          </w:p>
        </w:tc>
        <w:tc>
          <w:tcPr>
            <w:tcW w:w="555" w:type="dxa"/>
            <w:tcBorders>
              <w:top w:val="single" w:sz="8" w:space="0" w:color="auto"/>
              <w:left w:val="single" w:sz="8" w:space="0" w:color="auto"/>
              <w:bottom w:val="single" w:sz="8" w:space="0" w:color="auto"/>
              <w:right w:val="single" w:sz="8" w:space="0" w:color="auto"/>
            </w:tcBorders>
            <w:shd w:val="clear" w:color="auto" w:fill="auto"/>
            <w:noWrap/>
            <w:vAlign w:val="center"/>
          </w:tcPr>
          <w:p w:rsidR="006B539C" w:rsidRPr="00510CBB" w:rsidRDefault="006B539C" w:rsidP="009A4F0F">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1</w:t>
            </w:r>
          </w:p>
        </w:tc>
        <w:tc>
          <w:tcPr>
            <w:tcW w:w="579" w:type="dxa"/>
            <w:tcBorders>
              <w:top w:val="single" w:sz="8" w:space="0" w:color="auto"/>
              <w:left w:val="single" w:sz="8" w:space="0" w:color="auto"/>
              <w:bottom w:val="single" w:sz="8" w:space="0" w:color="auto"/>
              <w:right w:val="single" w:sz="8" w:space="0" w:color="auto"/>
            </w:tcBorders>
            <w:shd w:val="clear" w:color="auto" w:fill="auto"/>
            <w:noWrap/>
          </w:tcPr>
          <w:p w:rsidR="006B539C" w:rsidRPr="00510CBB" w:rsidRDefault="006B539C" w:rsidP="009A4F0F">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2</w:t>
            </w:r>
          </w:p>
        </w:tc>
        <w:tc>
          <w:tcPr>
            <w:tcW w:w="567" w:type="dxa"/>
            <w:tcBorders>
              <w:top w:val="single" w:sz="8" w:space="0" w:color="auto"/>
              <w:left w:val="single" w:sz="8" w:space="0" w:color="auto"/>
              <w:bottom w:val="single" w:sz="8" w:space="0" w:color="auto"/>
              <w:right w:val="single" w:sz="8" w:space="0" w:color="auto"/>
            </w:tcBorders>
            <w:shd w:val="clear" w:color="auto" w:fill="auto"/>
            <w:noWrap/>
          </w:tcPr>
          <w:p w:rsidR="006B539C" w:rsidRPr="00510CBB" w:rsidRDefault="006B539C" w:rsidP="009A4F0F">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12</w:t>
            </w:r>
          </w:p>
        </w:tc>
        <w:tc>
          <w:tcPr>
            <w:tcW w:w="567" w:type="dxa"/>
            <w:tcBorders>
              <w:top w:val="single" w:sz="8" w:space="0" w:color="auto"/>
              <w:left w:val="single" w:sz="8" w:space="0" w:color="auto"/>
              <w:bottom w:val="single" w:sz="8" w:space="0" w:color="auto"/>
              <w:right w:val="single" w:sz="8" w:space="0" w:color="auto"/>
            </w:tcBorders>
            <w:shd w:val="clear" w:color="auto" w:fill="auto"/>
            <w:noWrap/>
          </w:tcPr>
          <w:p w:rsidR="006B539C" w:rsidRPr="00510CBB" w:rsidRDefault="006B539C" w:rsidP="009A4F0F">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18</w:t>
            </w:r>
          </w:p>
        </w:tc>
        <w:tc>
          <w:tcPr>
            <w:tcW w:w="638" w:type="dxa"/>
            <w:tcBorders>
              <w:top w:val="single" w:sz="8" w:space="0" w:color="auto"/>
              <w:left w:val="single" w:sz="8" w:space="0" w:color="auto"/>
              <w:bottom w:val="single" w:sz="8" w:space="0" w:color="auto"/>
              <w:right w:val="single" w:sz="8" w:space="0" w:color="auto"/>
            </w:tcBorders>
            <w:shd w:val="clear" w:color="auto" w:fill="auto"/>
            <w:noWrap/>
          </w:tcPr>
          <w:p w:rsidR="006B539C" w:rsidRPr="00510CBB" w:rsidRDefault="006B539C" w:rsidP="009A4F0F">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3</w:t>
            </w:r>
          </w:p>
        </w:tc>
        <w:tc>
          <w:tcPr>
            <w:tcW w:w="567" w:type="dxa"/>
            <w:tcBorders>
              <w:top w:val="single" w:sz="8" w:space="0" w:color="auto"/>
              <w:left w:val="single" w:sz="8" w:space="0" w:color="auto"/>
              <w:bottom w:val="single" w:sz="8" w:space="0" w:color="auto"/>
              <w:right w:val="single" w:sz="8" w:space="0" w:color="auto"/>
            </w:tcBorders>
          </w:tcPr>
          <w:p w:rsidR="006B539C" w:rsidRPr="00510CBB" w:rsidRDefault="006B539C" w:rsidP="009A4F0F">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1</w:t>
            </w:r>
          </w:p>
        </w:tc>
        <w:tc>
          <w:tcPr>
            <w:tcW w:w="567" w:type="dxa"/>
            <w:tcBorders>
              <w:top w:val="single" w:sz="8" w:space="0" w:color="auto"/>
              <w:left w:val="single" w:sz="8" w:space="0" w:color="auto"/>
              <w:bottom w:val="single" w:sz="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1</w:t>
            </w:r>
          </w:p>
        </w:tc>
        <w:tc>
          <w:tcPr>
            <w:tcW w:w="567" w:type="dxa"/>
            <w:tcBorders>
              <w:top w:val="single" w:sz="8" w:space="0" w:color="auto"/>
              <w:left w:val="single" w:sz="8" w:space="0" w:color="auto"/>
              <w:bottom w:val="single" w:sz="8" w:space="0" w:color="auto"/>
              <w:right w:val="single" w:sz="1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sidRPr="00510CBB">
              <w:rPr>
                <w:rFonts w:ascii="Times New Roman" w:eastAsia="Times New Roman" w:hAnsi="Times New Roman" w:cs="Times New Roman"/>
                <w:b/>
                <w:color w:val="000000"/>
                <w:sz w:val="20"/>
                <w:szCs w:val="20"/>
                <w:lang w:eastAsia="hu-HU"/>
              </w:rPr>
              <w:t>0</w:t>
            </w:r>
          </w:p>
        </w:tc>
      </w:tr>
      <w:tr w:rsidR="006B539C" w:rsidRPr="001C2761" w:rsidTr="007F54B5">
        <w:trPr>
          <w:trHeight w:val="255"/>
        </w:trPr>
        <w:tc>
          <w:tcPr>
            <w:tcW w:w="1194" w:type="dxa"/>
            <w:tcBorders>
              <w:top w:val="single" w:sz="8" w:space="0" w:color="auto"/>
              <w:left w:val="single" w:sz="18" w:space="0" w:color="auto"/>
              <w:bottom w:val="single" w:sz="18" w:space="0" w:color="auto"/>
              <w:right w:val="single" w:sz="8" w:space="0" w:color="auto"/>
            </w:tcBorders>
            <w:shd w:val="clear" w:color="auto" w:fill="auto"/>
            <w:noWrap/>
            <w:vAlign w:val="bottom"/>
          </w:tcPr>
          <w:p w:rsidR="006B539C"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mindössz.</w:t>
            </w:r>
          </w:p>
        </w:tc>
        <w:tc>
          <w:tcPr>
            <w:tcW w:w="705" w:type="dxa"/>
            <w:tcBorders>
              <w:top w:val="single" w:sz="8" w:space="0" w:color="auto"/>
              <w:left w:val="single" w:sz="8" w:space="0" w:color="auto"/>
              <w:bottom w:val="single" w:sz="18" w:space="0" w:color="auto"/>
              <w:right w:val="single" w:sz="8" w:space="0" w:color="auto"/>
            </w:tcBorders>
            <w:shd w:val="clear" w:color="auto" w:fill="auto"/>
            <w:vAlign w:val="bottom"/>
          </w:tcPr>
          <w:p w:rsidR="006B539C" w:rsidRPr="00510CBB" w:rsidRDefault="006B539C" w:rsidP="00510CBB">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fldChar w:fldCharType="begin"/>
            </w:r>
            <w:r>
              <w:rPr>
                <w:rFonts w:ascii="Times New Roman" w:eastAsia="Times New Roman" w:hAnsi="Times New Roman" w:cs="Times New Roman"/>
                <w:b/>
                <w:bCs/>
                <w:color w:val="000000"/>
                <w:sz w:val="20"/>
                <w:szCs w:val="20"/>
                <w:lang w:eastAsia="hu-HU"/>
              </w:rPr>
              <w:instrText xml:space="preserve"> =SUM(ABOVE) </w:instrText>
            </w:r>
            <w:r>
              <w:rPr>
                <w:rFonts w:ascii="Times New Roman" w:eastAsia="Times New Roman" w:hAnsi="Times New Roman" w:cs="Times New Roman"/>
                <w:b/>
                <w:bCs/>
                <w:color w:val="000000"/>
                <w:sz w:val="20"/>
                <w:szCs w:val="20"/>
                <w:lang w:eastAsia="hu-HU"/>
              </w:rPr>
              <w:fldChar w:fldCharType="separate"/>
            </w:r>
            <w:r>
              <w:rPr>
                <w:rFonts w:ascii="Times New Roman" w:eastAsia="Times New Roman" w:hAnsi="Times New Roman" w:cs="Times New Roman"/>
                <w:b/>
                <w:bCs/>
                <w:noProof/>
                <w:color w:val="000000"/>
                <w:sz w:val="20"/>
                <w:szCs w:val="20"/>
                <w:lang w:eastAsia="hu-HU"/>
              </w:rPr>
              <w:t>112</w:t>
            </w:r>
            <w:r>
              <w:rPr>
                <w:rFonts w:ascii="Times New Roman" w:eastAsia="Times New Roman" w:hAnsi="Times New Roman" w:cs="Times New Roman"/>
                <w:b/>
                <w:bCs/>
                <w:color w:val="000000"/>
                <w:sz w:val="20"/>
                <w:szCs w:val="20"/>
                <w:lang w:eastAsia="hu-HU"/>
              </w:rPr>
              <w:fldChar w:fldCharType="end"/>
            </w:r>
          </w:p>
        </w:tc>
        <w:tc>
          <w:tcPr>
            <w:tcW w:w="620" w:type="dxa"/>
            <w:tcBorders>
              <w:top w:val="single" w:sz="8" w:space="0" w:color="auto"/>
              <w:left w:val="single" w:sz="8" w:space="0" w:color="auto"/>
              <w:bottom w:val="single" w:sz="1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8</w:t>
            </w:r>
          </w:p>
        </w:tc>
        <w:tc>
          <w:tcPr>
            <w:tcW w:w="620" w:type="dxa"/>
            <w:tcBorders>
              <w:top w:val="single" w:sz="8" w:space="0" w:color="auto"/>
              <w:left w:val="single" w:sz="8" w:space="0" w:color="auto"/>
              <w:bottom w:val="single" w:sz="1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1</w:t>
            </w:r>
          </w:p>
        </w:tc>
        <w:tc>
          <w:tcPr>
            <w:tcW w:w="620" w:type="dxa"/>
            <w:tcBorders>
              <w:top w:val="single" w:sz="8" w:space="0" w:color="auto"/>
              <w:left w:val="single" w:sz="8" w:space="0" w:color="auto"/>
              <w:bottom w:val="single" w:sz="1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27</w:t>
            </w:r>
          </w:p>
        </w:tc>
        <w:tc>
          <w:tcPr>
            <w:tcW w:w="555" w:type="dxa"/>
            <w:tcBorders>
              <w:top w:val="single" w:sz="8" w:space="0" w:color="auto"/>
              <w:left w:val="single" w:sz="8" w:space="0" w:color="auto"/>
              <w:bottom w:val="single" w:sz="1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6</w:t>
            </w:r>
          </w:p>
        </w:tc>
        <w:tc>
          <w:tcPr>
            <w:tcW w:w="579" w:type="dxa"/>
            <w:tcBorders>
              <w:top w:val="single" w:sz="8" w:space="0" w:color="auto"/>
              <w:left w:val="single" w:sz="8" w:space="0" w:color="auto"/>
              <w:bottom w:val="single" w:sz="18" w:space="0" w:color="auto"/>
              <w:right w:val="single" w:sz="8" w:space="0" w:color="auto"/>
            </w:tcBorders>
            <w:shd w:val="clear" w:color="auto" w:fill="auto"/>
            <w:noWrap/>
            <w:vAlign w:val="center"/>
          </w:tcPr>
          <w:p w:rsidR="006B539C" w:rsidRPr="00510CBB" w:rsidRDefault="006B539C" w:rsidP="00A816CD">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4</w:t>
            </w:r>
          </w:p>
        </w:tc>
        <w:tc>
          <w:tcPr>
            <w:tcW w:w="567" w:type="dxa"/>
            <w:tcBorders>
              <w:top w:val="single" w:sz="8" w:space="0" w:color="auto"/>
              <w:left w:val="single" w:sz="8" w:space="0" w:color="auto"/>
              <w:bottom w:val="single" w:sz="1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13</w:t>
            </w:r>
          </w:p>
        </w:tc>
        <w:tc>
          <w:tcPr>
            <w:tcW w:w="567" w:type="dxa"/>
            <w:tcBorders>
              <w:top w:val="single" w:sz="8" w:space="0" w:color="auto"/>
              <w:left w:val="single" w:sz="8" w:space="0" w:color="auto"/>
              <w:bottom w:val="single" w:sz="1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29</w:t>
            </w:r>
          </w:p>
        </w:tc>
        <w:tc>
          <w:tcPr>
            <w:tcW w:w="638" w:type="dxa"/>
            <w:tcBorders>
              <w:top w:val="single" w:sz="8" w:space="0" w:color="auto"/>
              <w:left w:val="single" w:sz="8" w:space="0" w:color="auto"/>
              <w:bottom w:val="single" w:sz="1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4</w:t>
            </w:r>
          </w:p>
        </w:tc>
        <w:tc>
          <w:tcPr>
            <w:tcW w:w="567" w:type="dxa"/>
            <w:tcBorders>
              <w:top w:val="single" w:sz="8" w:space="0" w:color="auto"/>
              <w:left w:val="single" w:sz="8" w:space="0" w:color="auto"/>
              <w:bottom w:val="single" w:sz="18" w:space="0" w:color="auto"/>
              <w:right w:val="single" w:sz="8" w:space="0" w:color="auto"/>
            </w:tcBorders>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3</w:t>
            </w:r>
          </w:p>
        </w:tc>
        <w:tc>
          <w:tcPr>
            <w:tcW w:w="567" w:type="dxa"/>
            <w:tcBorders>
              <w:top w:val="single" w:sz="8" w:space="0" w:color="auto"/>
              <w:left w:val="single" w:sz="8" w:space="0" w:color="auto"/>
              <w:bottom w:val="single" w:sz="18" w:space="0" w:color="auto"/>
              <w:right w:val="single" w:sz="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6</w:t>
            </w:r>
          </w:p>
        </w:tc>
        <w:tc>
          <w:tcPr>
            <w:tcW w:w="567" w:type="dxa"/>
            <w:tcBorders>
              <w:top w:val="single" w:sz="8" w:space="0" w:color="auto"/>
              <w:left w:val="single" w:sz="8" w:space="0" w:color="auto"/>
              <w:bottom w:val="single" w:sz="18" w:space="0" w:color="auto"/>
              <w:right w:val="single" w:sz="18" w:space="0" w:color="auto"/>
            </w:tcBorders>
            <w:shd w:val="clear" w:color="auto" w:fill="auto"/>
            <w:noWrap/>
          </w:tcPr>
          <w:p w:rsidR="006B539C" w:rsidRPr="00510CBB" w:rsidRDefault="006B539C" w:rsidP="00510CBB">
            <w:pPr>
              <w:jc w:val="center"/>
              <w:rPr>
                <w:rFonts w:ascii="Times New Roman" w:eastAsia="Times New Roman" w:hAnsi="Times New Roman" w:cs="Times New Roman"/>
                <w:b/>
                <w:color w:val="000000"/>
                <w:sz w:val="20"/>
                <w:szCs w:val="20"/>
                <w:lang w:eastAsia="hu-HU"/>
              </w:rPr>
            </w:pPr>
            <w:r>
              <w:rPr>
                <w:rFonts w:ascii="Times New Roman" w:eastAsia="Times New Roman" w:hAnsi="Times New Roman" w:cs="Times New Roman"/>
                <w:b/>
                <w:color w:val="000000"/>
                <w:sz w:val="20"/>
                <w:szCs w:val="20"/>
                <w:lang w:eastAsia="hu-HU"/>
              </w:rPr>
              <w:t>1</w:t>
            </w:r>
          </w:p>
        </w:tc>
      </w:tr>
    </w:tbl>
    <w:p w:rsidR="007E42E0" w:rsidRDefault="007E42E0">
      <w:pPr>
        <w:rPr>
          <w:rFonts w:ascii="Times New Roman" w:hAnsi="Times New Roman" w:cs="Times New Roman"/>
        </w:rPr>
      </w:pPr>
    </w:p>
    <w:p w:rsidR="00A62422" w:rsidRPr="00CB4389" w:rsidRDefault="00A62422" w:rsidP="00467D7A">
      <w:pPr>
        <w:rPr>
          <w:rFonts w:ascii="Times New Roman" w:eastAsia="Times New Roman" w:hAnsi="Times New Roman" w:cs="Times New Roman"/>
          <w:bCs/>
          <w:i/>
          <w:iCs/>
          <w:u w:val="single"/>
          <w:lang w:eastAsia="hu-HU"/>
        </w:rPr>
      </w:pPr>
      <w:r w:rsidRPr="00CB4389">
        <w:rPr>
          <w:rFonts w:ascii="Times New Roman" w:eastAsia="Times New Roman" w:hAnsi="Times New Roman" w:cs="Times New Roman"/>
          <w:b/>
          <w:bCs/>
          <w:i/>
          <w:iCs/>
          <w:u w:val="single"/>
          <w:lang w:eastAsia="hu-HU"/>
        </w:rPr>
        <w:t>2.3</w:t>
      </w:r>
      <w:r w:rsidRPr="00CB4389">
        <w:rPr>
          <w:rFonts w:ascii="Times New Roman" w:eastAsia="Times New Roman" w:hAnsi="Times New Roman" w:cs="Times New Roman"/>
          <w:bCs/>
          <w:i/>
          <w:iCs/>
          <w:u w:val="single"/>
          <w:lang w:eastAsia="hu-HU"/>
        </w:rPr>
        <w:t>.Ismertesse az egyezséget, illetve kötelezést segítő, akadályozó tényezőket, a fogyasztói visszajelzések arányát a határozatokban, ajánlásokban foglaltak betartásának alakulását, stb.)</w:t>
      </w:r>
    </w:p>
    <w:p w:rsidR="00467D7A" w:rsidRDefault="00467D7A" w:rsidP="00467D7A">
      <w:pPr>
        <w:rPr>
          <w:rFonts w:ascii="Times New Roman" w:eastAsia="Times New Roman" w:hAnsi="Times New Roman" w:cs="Times New Roman"/>
          <w:bCs/>
          <w:iCs/>
          <w:lang w:eastAsia="hu-HU"/>
        </w:rPr>
      </w:pPr>
    </w:p>
    <w:tbl>
      <w:tblPr>
        <w:tblW w:w="8366" w:type="dxa"/>
        <w:tblInd w:w="354" w:type="dxa"/>
        <w:tblLayout w:type="fixed"/>
        <w:tblCellMar>
          <w:left w:w="70" w:type="dxa"/>
          <w:right w:w="70" w:type="dxa"/>
        </w:tblCellMar>
        <w:tblLook w:val="04A0" w:firstRow="1" w:lastRow="0" w:firstColumn="1" w:lastColumn="0" w:noHBand="0" w:noVBand="1"/>
      </w:tblPr>
      <w:tblGrid>
        <w:gridCol w:w="1194"/>
        <w:gridCol w:w="705"/>
        <w:gridCol w:w="620"/>
        <w:gridCol w:w="620"/>
        <w:gridCol w:w="620"/>
        <w:gridCol w:w="555"/>
        <w:gridCol w:w="579"/>
        <w:gridCol w:w="567"/>
        <w:gridCol w:w="567"/>
        <w:gridCol w:w="638"/>
        <w:gridCol w:w="567"/>
        <w:gridCol w:w="567"/>
        <w:gridCol w:w="567"/>
      </w:tblGrid>
      <w:tr w:rsidR="006B539C" w:rsidRPr="00510CBB" w:rsidTr="006B539C">
        <w:trPr>
          <w:trHeight w:val="407"/>
          <w:tblHeader/>
        </w:trPr>
        <w:tc>
          <w:tcPr>
            <w:tcW w:w="1899" w:type="dxa"/>
            <w:gridSpan w:val="2"/>
            <w:vMerge w:val="restart"/>
            <w:tcBorders>
              <w:top w:val="single" w:sz="18" w:space="0" w:color="auto"/>
              <w:left w:val="single" w:sz="18" w:space="0" w:color="auto"/>
              <w:bottom w:val="single" w:sz="8" w:space="0" w:color="000000"/>
              <w:right w:val="single" w:sz="8" w:space="0" w:color="000000"/>
            </w:tcBorders>
            <w:vAlign w:val="center"/>
          </w:tcPr>
          <w:p w:rsidR="006B539C" w:rsidRPr="00510CBB" w:rsidRDefault="006B539C" w:rsidP="006B539C">
            <w:pPr>
              <w:jc w:val="left"/>
              <w:rPr>
                <w:rFonts w:ascii="Times New Roman" w:eastAsia="Times New Roman" w:hAnsi="Times New Roman" w:cs="Times New Roman"/>
                <w:b/>
                <w:bCs/>
                <w:color w:val="000000"/>
                <w:sz w:val="20"/>
                <w:szCs w:val="20"/>
                <w:lang w:eastAsia="hu-HU"/>
              </w:rPr>
            </w:pPr>
          </w:p>
        </w:tc>
        <w:tc>
          <w:tcPr>
            <w:tcW w:w="620" w:type="dxa"/>
            <w:vMerge w:val="restart"/>
            <w:tcBorders>
              <w:top w:val="single" w:sz="18" w:space="0" w:color="auto"/>
              <w:left w:val="nil"/>
              <w:bottom w:val="single" w:sz="8" w:space="0" w:color="000000"/>
              <w:right w:val="single" w:sz="8" w:space="0" w:color="000000"/>
            </w:tcBorders>
            <w:shd w:val="clear" w:color="auto" w:fill="auto"/>
            <w:noWrap/>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Egyez.</w:t>
            </w:r>
          </w:p>
          <w:p w:rsidR="006B539C" w:rsidRPr="00510CBB" w:rsidRDefault="006B539C" w:rsidP="006B539C">
            <w:pPr>
              <w:jc w:val="left"/>
              <w:rPr>
                <w:rFonts w:ascii="Times New Roman" w:eastAsia="Times New Roman" w:hAnsi="Times New Roman" w:cs="Times New Roman"/>
                <w:b/>
                <w:bCs/>
                <w:color w:val="000000"/>
                <w:sz w:val="16"/>
                <w:szCs w:val="16"/>
                <w:lang w:eastAsia="hu-HU"/>
              </w:rPr>
            </w:pPr>
          </w:p>
        </w:tc>
        <w:tc>
          <w:tcPr>
            <w:tcW w:w="620" w:type="dxa"/>
            <w:vMerge w:val="restart"/>
            <w:tcBorders>
              <w:top w:val="single" w:sz="18" w:space="0" w:color="auto"/>
              <w:left w:val="nil"/>
              <w:bottom w:val="single" w:sz="4" w:space="0" w:color="auto"/>
              <w:right w:val="single" w:sz="8" w:space="0" w:color="000000"/>
            </w:tcBorders>
            <w:shd w:val="clear" w:color="auto" w:fill="auto"/>
            <w:noWrap/>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Kötel.</w:t>
            </w:r>
          </w:p>
          <w:p w:rsidR="006B539C" w:rsidRPr="00510CBB" w:rsidRDefault="006B539C" w:rsidP="006B539C">
            <w:pPr>
              <w:jc w:val="left"/>
              <w:rPr>
                <w:rFonts w:ascii="Times New Roman" w:eastAsia="Times New Roman" w:hAnsi="Times New Roman" w:cs="Times New Roman"/>
                <w:b/>
                <w:bCs/>
                <w:color w:val="000000"/>
                <w:sz w:val="16"/>
                <w:szCs w:val="16"/>
                <w:lang w:eastAsia="hu-HU"/>
              </w:rPr>
            </w:pPr>
          </w:p>
        </w:tc>
        <w:tc>
          <w:tcPr>
            <w:tcW w:w="620" w:type="dxa"/>
            <w:vMerge w:val="restart"/>
            <w:tcBorders>
              <w:top w:val="single" w:sz="18" w:space="0" w:color="auto"/>
              <w:left w:val="nil"/>
              <w:bottom w:val="single" w:sz="4" w:space="0" w:color="auto"/>
              <w:right w:val="single" w:sz="8" w:space="0" w:color="000000"/>
            </w:tcBorders>
            <w:shd w:val="clear" w:color="auto" w:fill="auto"/>
            <w:noWrap/>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Ajánl.</w:t>
            </w:r>
          </w:p>
          <w:p w:rsidR="006B539C" w:rsidRPr="00510CBB" w:rsidRDefault="006B539C" w:rsidP="006B539C">
            <w:pPr>
              <w:jc w:val="left"/>
              <w:rPr>
                <w:rFonts w:ascii="Times New Roman" w:eastAsia="Times New Roman" w:hAnsi="Times New Roman" w:cs="Times New Roman"/>
                <w:b/>
                <w:bCs/>
                <w:color w:val="000000"/>
                <w:sz w:val="16"/>
                <w:szCs w:val="16"/>
                <w:lang w:eastAsia="hu-HU"/>
              </w:rPr>
            </w:pPr>
          </w:p>
        </w:tc>
        <w:tc>
          <w:tcPr>
            <w:tcW w:w="2906" w:type="dxa"/>
            <w:gridSpan w:val="5"/>
            <w:tcBorders>
              <w:top w:val="single" w:sz="18" w:space="0" w:color="auto"/>
              <w:left w:val="single" w:sz="8" w:space="0" w:color="000000"/>
              <w:bottom w:val="single" w:sz="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sidRPr="00510CBB">
              <w:rPr>
                <w:rFonts w:ascii="Times New Roman" w:eastAsia="Times New Roman" w:hAnsi="Times New Roman" w:cs="Times New Roman"/>
                <w:b/>
                <w:bCs/>
                <w:color w:val="000000"/>
                <w:sz w:val="16"/>
                <w:szCs w:val="16"/>
                <w:lang w:eastAsia="hu-HU"/>
              </w:rPr>
              <w:t>Megszűntetés</w:t>
            </w:r>
          </w:p>
        </w:tc>
        <w:tc>
          <w:tcPr>
            <w:tcW w:w="567" w:type="dxa"/>
            <w:vMerge w:val="restart"/>
            <w:tcBorders>
              <w:top w:val="single" w:sz="18" w:space="0" w:color="auto"/>
              <w:left w:val="single" w:sz="8" w:space="0" w:color="000000"/>
              <w:right w:val="single" w:sz="8" w:space="0" w:color="000000"/>
            </w:tcBorders>
            <w:vAlign w:val="center"/>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eluta-sítás</w:t>
            </w:r>
          </w:p>
        </w:tc>
        <w:tc>
          <w:tcPr>
            <w:tcW w:w="1134" w:type="dxa"/>
            <w:gridSpan w:val="2"/>
            <w:tcBorders>
              <w:top w:val="single" w:sz="18" w:space="0" w:color="auto"/>
              <w:left w:val="single" w:sz="8" w:space="0" w:color="000000"/>
              <w:bottom w:val="single" w:sz="8" w:space="0" w:color="000000"/>
              <w:right w:val="single" w:sz="18" w:space="0" w:color="auto"/>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sidRPr="00510CBB">
              <w:rPr>
                <w:rFonts w:ascii="Times New Roman" w:eastAsia="Times New Roman" w:hAnsi="Times New Roman" w:cs="Times New Roman"/>
                <w:b/>
                <w:bCs/>
                <w:color w:val="000000"/>
                <w:sz w:val="16"/>
                <w:szCs w:val="16"/>
                <w:lang w:eastAsia="hu-HU"/>
              </w:rPr>
              <w:t>Áttétel</w:t>
            </w:r>
          </w:p>
        </w:tc>
      </w:tr>
      <w:tr w:rsidR="006B539C" w:rsidRPr="00510CBB" w:rsidTr="006B539C">
        <w:trPr>
          <w:trHeight w:val="354"/>
          <w:tblHeader/>
        </w:trPr>
        <w:tc>
          <w:tcPr>
            <w:tcW w:w="1899" w:type="dxa"/>
            <w:gridSpan w:val="2"/>
            <w:vMerge/>
            <w:tcBorders>
              <w:top w:val="single" w:sz="8" w:space="0" w:color="000000"/>
              <w:left w:val="single" w:sz="18" w:space="0" w:color="auto"/>
              <w:bottom w:val="single" w:sz="18" w:space="0" w:color="000000"/>
              <w:right w:val="single" w:sz="8" w:space="0" w:color="000000"/>
            </w:tcBorders>
            <w:vAlign w:val="center"/>
          </w:tcPr>
          <w:p w:rsidR="006B539C" w:rsidRPr="00510CBB" w:rsidRDefault="006B539C" w:rsidP="006B539C">
            <w:pPr>
              <w:jc w:val="left"/>
              <w:rPr>
                <w:rFonts w:ascii="Times New Roman" w:eastAsia="Times New Roman" w:hAnsi="Times New Roman" w:cs="Times New Roman"/>
                <w:b/>
                <w:bCs/>
                <w:color w:val="000000"/>
                <w:sz w:val="20"/>
                <w:szCs w:val="20"/>
                <w:lang w:eastAsia="hu-HU"/>
              </w:rPr>
            </w:pPr>
          </w:p>
        </w:tc>
        <w:tc>
          <w:tcPr>
            <w:tcW w:w="620" w:type="dxa"/>
            <w:vMerge/>
            <w:tcBorders>
              <w:top w:val="single" w:sz="8" w:space="0" w:color="000000"/>
              <w:left w:val="nil"/>
              <w:bottom w:val="single" w:sz="1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p>
        </w:tc>
        <w:tc>
          <w:tcPr>
            <w:tcW w:w="620" w:type="dxa"/>
            <w:vMerge/>
            <w:tcBorders>
              <w:top w:val="single" w:sz="4" w:space="0" w:color="auto"/>
              <w:left w:val="nil"/>
              <w:bottom w:val="single" w:sz="1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p>
        </w:tc>
        <w:tc>
          <w:tcPr>
            <w:tcW w:w="620" w:type="dxa"/>
            <w:vMerge/>
            <w:tcBorders>
              <w:top w:val="single" w:sz="4" w:space="0" w:color="auto"/>
              <w:left w:val="nil"/>
              <w:bottom w:val="single" w:sz="1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p>
        </w:tc>
        <w:tc>
          <w:tcPr>
            <w:tcW w:w="555" w:type="dxa"/>
            <w:tcBorders>
              <w:top w:val="nil"/>
              <w:left w:val="nil"/>
              <w:bottom w:val="single" w:sz="1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sidRPr="00510CBB">
              <w:rPr>
                <w:rFonts w:ascii="Times New Roman" w:eastAsia="Times New Roman" w:hAnsi="Times New Roman" w:cs="Times New Roman"/>
                <w:b/>
                <w:bCs/>
                <w:color w:val="000000"/>
                <w:sz w:val="16"/>
                <w:szCs w:val="16"/>
                <w:lang w:eastAsia="hu-HU"/>
              </w:rPr>
              <w:t>a)</w:t>
            </w:r>
          </w:p>
        </w:tc>
        <w:tc>
          <w:tcPr>
            <w:tcW w:w="579" w:type="dxa"/>
            <w:tcBorders>
              <w:top w:val="nil"/>
              <w:left w:val="nil"/>
              <w:bottom w:val="single" w:sz="1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sidRPr="00510CBB">
              <w:rPr>
                <w:rFonts w:ascii="Times New Roman" w:eastAsia="Times New Roman" w:hAnsi="Times New Roman" w:cs="Times New Roman"/>
                <w:b/>
                <w:bCs/>
                <w:color w:val="000000"/>
                <w:sz w:val="16"/>
                <w:szCs w:val="16"/>
                <w:lang w:eastAsia="hu-HU"/>
              </w:rPr>
              <w:t>b)</w:t>
            </w:r>
          </w:p>
        </w:tc>
        <w:tc>
          <w:tcPr>
            <w:tcW w:w="567" w:type="dxa"/>
            <w:tcBorders>
              <w:top w:val="nil"/>
              <w:left w:val="nil"/>
              <w:bottom w:val="single" w:sz="1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sidRPr="00510CBB">
              <w:rPr>
                <w:rFonts w:ascii="Times New Roman" w:eastAsia="Times New Roman" w:hAnsi="Times New Roman" w:cs="Times New Roman"/>
                <w:b/>
                <w:bCs/>
                <w:color w:val="000000"/>
                <w:sz w:val="16"/>
                <w:szCs w:val="16"/>
                <w:lang w:eastAsia="hu-HU"/>
              </w:rPr>
              <w:t>c)</w:t>
            </w:r>
          </w:p>
        </w:tc>
        <w:tc>
          <w:tcPr>
            <w:tcW w:w="567" w:type="dxa"/>
            <w:tcBorders>
              <w:top w:val="nil"/>
              <w:left w:val="nil"/>
              <w:bottom w:val="single" w:sz="1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sidRPr="00510CBB">
              <w:rPr>
                <w:rFonts w:ascii="Times New Roman" w:eastAsia="Times New Roman" w:hAnsi="Times New Roman" w:cs="Times New Roman"/>
                <w:b/>
                <w:bCs/>
                <w:color w:val="000000"/>
                <w:sz w:val="16"/>
                <w:szCs w:val="16"/>
                <w:lang w:eastAsia="hu-HU"/>
              </w:rPr>
              <w:t>d)</w:t>
            </w:r>
          </w:p>
        </w:tc>
        <w:tc>
          <w:tcPr>
            <w:tcW w:w="638" w:type="dxa"/>
            <w:tcBorders>
              <w:top w:val="nil"/>
              <w:left w:val="nil"/>
              <w:bottom w:val="single" w:sz="1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hiány</w:t>
            </w:r>
          </w:p>
        </w:tc>
        <w:tc>
          <w:tcPr>
            <w:tcW w:w="567" w:type="dxa"/>
            <w:vMerge/>
            <w:tcBorders>
              <w:left w:val="single" w:sz="8" w:space="0" w:color="000000"/>
              <w:bottom w:val="single" w:sz="18" w:space="0" w:color="000000"/>
              <w:right w:val="single" w:sz="8" w:space="0" w:color="000000"/>
            </w:tcBorders>
            <w:vAlign w:val="center"/>
          </w:tcPr>
          <w:p w:rsidR="006B539C" w:rsidRDefault="006B539C" w:rsidP="006B539C">
            <w:pPr>
              <w:jc w:val="left"/>
              <w:rPr>
                <w:rFonts w:ascii="Times New Roman" w:eastAsia="Times New Roman" w:hAnsi="Times New Roman" w:cs="Times New Roman"/>
                <w:b/>
                <w:bCs/>
                <w:color w:val="000000"/>
                <w:sz w:val="16"/>
                <w:szCs w:val="16"/>
                <w:lang w:eastAsia="hu-HU"/>
              </w:rPr>
            </w:pPr>
          </w:p>
        </w:tc>
        <w:tc>
          <w:tcPr>
            <w:tcW w:w="567" w:type="dxa"/>
            <w:tcBorders>
              <w:top w:val="nil"/>
              <w:left w:val="single" w:sz="8" w:space="0" w:color="000000"/>
              <w:bottom w:val="single" w:sz="18" w:space="0" w:color="000000"/>
              <w:right w:val="single" w:sz="8" w:space="0" w:color="000000"/>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hat.</w:t>
            </w:r>
          </w:p>
        </w:tc>
        <w:tc>
          <w:tcPr>
            <w:tcW w:w="567" w:type="dxa"/>
            <w:tcBorders>
              <w:top w:val="nil"/>
              <w:left w:val="nil"/>
              <w:bottom w:val="single" w:sz="18" w:space="0" w:color="000000"/>
              <w:right w:val="single" w:sz="18" w:space="0" w:color="auto"/>
            </w:tcBorders>
            <w:shd w:val="clear" w:color="auto" w:fill="auto"/>
            <w:vAlign w:val="center"/>
            <w:hideMark/>
          </w:tcPr>
          <w:p w:rsidR="006B539C" w:rsidRPr="00510CBB" w:rsidRDefault="006B539C" w:rsidP="006B539C">
            <w:pPr>
              <w:jc w:val="left"/>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illet.</w:t>
            </w:r>
          </w:p>
        </w:tc>
      </w:tr>
      <w:tr w:rsidR="006B539C" w:rsidRPr="007F54B5" w:rsidTr="00817F7E">
        <w:trPr>
          <w:trHeight w:val="255"/>
        </w:trPr>
        <w:tc>
          <w:tcPr>
            <w:tcW w:w="1194" w:type="dxa"/>
            <w:tcBorders>
              <w:top w:val="single" w:sz="18" w:space="0" w:color="000000"/>
              <w:left w:val="single" w:sz="18"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I.</w:t>
            </w:r>
            <w:r>
              <w:rPr>
                <w:rFonts w:ascii="Times New Roman" w:eastAsia="Times New Roman" w:hAnsi="Times New Roman" w:cs="Times New Roman"/>
                <w:b/>
                <w:bCs/>
                <w:color w:val="000000"/>
                <w:sz w:val="20"/>
                <w:szCs w:val="20"/>
                <w:lang w:eastAsia="hu-HU"/>
              </w:rPr>
              <w:t xml:space="preserve"> f. év.</w:t>
            </w:r>
          </w:p>
        </w:tc>
        <w:tc>
          <w:tcPr>
            <w:tcW w:w="705" w:type="dxa"/>
            <w:tcBorders>
              <w:top w:val="single" w:sz="18" w:space="0" w:color="000000"/>
              <w:left w:val="single" w:sz="4" w:space="0" w:color="auto"/>
              <w:bottom w:val="single" w:sz="4" w:space="0" w:color="auto"/>
              <w:right w:val="single" w:sz="4" w:space="0" w:color="auto"/>
            </w:tcBorders>
            <w:shd w:val="clear" w:color="auto" w:fill="auto"/>
            <w:vAlign w:val="bottom"/>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159</w:t>
            </w:r>
          </w:p>
        </w:tc>
        <w:tc>
          <w:tcPr>
            <w:tcW w:w="620" w:type="dxa"/>
            <w:tcBorders>
              <w:top w:val="single" w:sz="18" w:space="0" w:color="000000"/>
              <w:left w:val="single" w:sz="4"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13</w:t>
            </w:r>
          </w:p>
        </w:tc>
        <w:tc>
          <w:tcPr>
            <w:tcW w:w="620" w:type="dxa"/>
            <w:tcBorders>
              <w:top w:val="single" w:sz="18" w:space="0" w:color="000000"/>
              <w:left w:val="single" w:sz="4"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8</w:t>
            </w:r>
          </w:p>
        </w:tc>
        <w:tc>
          <w:tcPr>
            <w:tcW w:w="620" w:type="dxa"/>
            <w:tcBorders>
              <w:top w:val="single" w:sz="18" w:space="0" w:color="000000"/>
              <w:left w:val="single" w:sz="4"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59</w:t>
            </w:r>
          </w:p>
        </w:tc>
        <w:tc>
          <w:tcPr>
            <w:tcW w:w="555" w:type="dxa"/>
            <w:tcBorders>
              <w:top w:val="single" w:sz="18" w:space="0" w:color="000000"/>
              <w:left w:val="single" w:sz="4"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11</w:t>
            </w:r>
          </w:p>
        </w:tc>
        <w:tc>
          <w:tcPr>
            <w:tcW w:w="579" w:type="dxa"/>
            <w:tcBorders>
              <w:top w:val="single" w:sz="18" w:space="0" w:color="000000"/>
              <w:left w:val="single" w:sz="4"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8</w:t>
            </w:r>
          </w:p>
        </w:tc>
        <w:tc>
          <w:tcPr>
            <w:tcW w:w="567" w:type="dxa"/>
            <w:tcBorders>
              <w:top w:val="single" w:sz="18" w:space="0" w:color="000000"/>
              <w:left w:val="single" w:sz="4"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30</w:t>
            </w:r>
          </w:p>
        </w:tc>
        <w:tc>
          <w:tcPr>
            <w:tcW w:w="567" w:type="dxa"/>
            <w:tcBorders>
              <w:top w:val="single" w:sz="18" w:space="0" w:color="000000"/>
              <w:left w:val="single" w:sz="4"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19</w:t>
            </w:r>
          </w:p>
        </w:tc>
        <w:tc>
          <w:tcPr>
            <w:tcW w:w="638" w:type="dxa"/>
            <w:tcBorders>
              <w:top w:val="single" w:sz="18" w:space="0" w:color="000000"/>
              <w:left w:val="single" w:sz="4"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1</w:t>
            </w:r>
          </w:p>
        </w:tc>
        <w:tc>
          <w:tcPr>
            <w:tcW w:w="567" w:type="dxa"/>
            <w:tcBorders>
              <w:top w:val="single" w:sz="18" w:space="0" w:color="000000"/>
              <w:left w:val="single" w:sz="4" w:space="0" w:color="auto"/>
              <w:bottom w:val="single" w:sz="4" w:space="0" w:color="auto"/>
              <w:right w:val="single" w:sz="4" w:space="0" w:color="auto"/>
            </w:tcBorders>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3</w:t>
            </w:r>
          </w:p>
        </w:tc>
        <w:tc>
          <w:tcPr>
            <w:tcW w:w="567" w:type="dxa"/>
            <w:tcBorders>
              <w:top w:val="single" w:sz="18" w:space="0" w:color="000000"/>
              <w:left w:val="single" w:sz="4" w:space="0" w:color="auto"/>
              <w:bottom w:val="single" w:sz="4" w:space="0" w:color="auto"/>
              <w:right w:val="single" w:sz="4"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5</w:t>
            </w:r>
          </w:p>
        </w:tc>
        <w:tc>
          <w:tcPr>
            <w:tcW w:w="567" w:type="dxa"/>
            <w:tcBorders>
              <w:top w:val="single" w:sz="18" w:space="0" w:color="000000"/>
              <w:left w:val="single" w:sz="4" w:space="0" w:color="auto"/>
              <w:bottom w:val="single" w:sz="4" w:space="0" w:color="auto"/>
              <w:right w:val="single" w:sz="18" w:space="0" w:color="auto"/>
            </w:tcBorders>
            <w:shd w:val="clear" w:color="auto" w:fill="auto"/>
            <w:noWrap/>
            <w:vAlign w:val="bottom"/>
            <w:hideMark/>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2</w:t>
            </w:r>
          </w:p>
        </w:tc>
      </w:tr>
      <w:tr w:rsidR="006B539C" w:rsidRPr="007F54B5" w:rsidTr="00817F7E">
        <w:trPr>
          <w:trHeight w:val="255"/>
        </w:trPr>
        <w:tc>
          <w:tcPr>
            <w:tcW w:w="1194" w:type="dxa"/>
            <w:tcBorders>
              <w:top w:val="single" w:sz="4" w:space="0" w:color="auto"/>
              <w:left w:val="single" w:sz="18"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II.</w:t>
            </w:r>
            <w:r>
              <w:rPr>
                <w:rFonts w:ascii="Times New Roman" w:eastAsia="Times New Roman" w:hAnsi="Times New Roman" w:cs="Times New Roman"/>
                <w:b/>
                <w:bCs/>
                <w:color w:val="000000"/>
                <w:sz w:val="20"/>
                <w:szCs w:val="20"/>
                <w:lang w:eastAsia="hu-HU"/>
              </w:rPr>
              <w:t xml:space="preserve"> f. év.</w:t>
            </w:r>
          </w:p>
        </w:tc>
        <w:tc>
          <w:tcPr>
            <w:tcW w:w="705" w:type="dxa"/>
            <w:tcBorders>
              <w:top w:val="single" w:sz="4" w:space="0" w:color="auto"/>
              <w:left w:val="single" w:sz="4" w:space="0" w:color="auto"/>
              <w:bottom w:val="single" w:sz="4" w:space="0" w:color="auto"/>
              <w:right w:val="single" w:sz="4" w:space="0" w:color="auto"/>
            </w:tcBorders>
            <w:shd w:val="clear" w:color="auto" w:fill="auto"/>
            <w:vAlign w:val="bottom"/>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158</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21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2</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61</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4</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22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32</w:t>
            </w:r>
          </w:p>
        </w:tc>
        <w:tc>
          <w:tcPr>
            <w:tcW w:w="6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hAnsi="Times New Roman" w:cs="Times New Roman"/>
                <w:b/>
                <w:bCs/>
                <w:color w:val="000000"/>
                <w:sz w:val="20"/>
                <w:szCs w:val="20"/>
              </w:rPr>
              <w:t>4</w:t>
            </w:r>
          </w:p>
        </w:tc>
        <w:tc>
          <w:tcPr>
            <w:tcW w:w="567" w:type="dxa"/>
            <w:tcBorders>
              <w:top w:val="single" w:sz="4" w:space="0" w:color="auto"/>
              <w:left w:val="single" w:sz="4" w:space="0" w:color="auto"/>
              <w:bottom w:val="single" w:sz="4" w:space="0" w:color="auto"/>
              <w:right w:val="single" w:sz="4" w:space="0" w:color="auto"/>
            </w:tcBorders>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hAnsi="Times New Roman" w:cs="Times New Roman"/>
                <w:b/>
                <w:bCs/>
                <w:color w:val="000000"/>
                <w:sz w:val="20"/>
                <w:szCs w:val="20"/>
              </w:rPr>
              <w:t>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1</w:t>
            </w:r>
          </w:p>
        </w:tc>
        <w:tc>
          <w:tcPr>
            <w:tcW w:w="567" w:type="dxa"/>
            <w:tcBorders>
              <w:top w:val="single" w:sz="4" w:space="0" w:color="auto"/>
              <w:left w:val="single" w:sz="4" w:space="0" w:color="auto"/>
              <w:bottom w:val="single" w:sz="4" w:space="0" w:color="auto"/>
              <w:right w:val="single" w:sz="18"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2</w:t>
            </w:r>
          </w:p>
        </w:tc>
      </w:tr>
      <w:tr w:rsidR="006B539C" w:rsidRPr="007F54B5" w:rsidTr="00817F7E">
        <w:trPr>
          <w:trHeight w:val="255"/>
        </w:trPr>
        <w:tc>
          <w:tcPr>
            <w:tcW w:w="1194" w:type="dxa"/>
            <w:tcBorders>
              <w:top w:val="single" w:sz="4" w:space="0" w:color="auto"/>
              <w:left w:val="single" w:sz="18"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összesen</w:t>
            </w:r>
          </w:p>
        </w:tc>
        <w:tc>
          <w:tcPr>
            <w:tcW w:w="705" w:type="dxa"/>
            <w:tcBorders>
              <w:top w:val="single" w:sz="4" w:space="0" w:color="auto"/>
              <w:left w:val="single" w:sz="4" w:space="0" w:color="auto"/>
              <w:bottom w:val="single" w:sz="18" w:space="0" w:color="auto"/>
              <w:right w:val="single" w:sz="4" w:space="0" w:color="auto"/>
            </w:tcBorders>
            <w:shd w:val="clear" w:color="auto" w:fill="auto"/>
            <w:vAlign w:val="bottom"/>
          </w:tcPr>
          <w:p w:rsidR="006B539C" w:rsidRPr="007F54B5" w:rsidRDefault="006B539C" w:rsidP="00817F7E">
            <w:pPr>
              <w:jc w:val="center"/>
              <w:rPr>
                <w:rFonts w:ascii="Times New Roman" w:eastAsia="Times New Roman" w:hAnsi="Times New Roman" w:cs="Times New Roman"/>
                <w:b/>
                <w:bCs/>
                <w:color w:val="000000"/>
                <w:sz w:val="20"/>
                <w:szCs w:val="20"/>
                <w:lang w:eastAsia="hu-HU"/>
              </w:rPr>
            </w:pPr>
            <w:r w:rsidRPr="007F54B5">
              <w:rPr>
                <w:rFonts w:ascii="Times New Roman" w:eastAsia="Times New Roman" w:hAnsi="Times New Roman" w:cs="Times New Roman"/>
                <w:b/>
                <w:bCs/>
                <w:color w:val="000000"/>
                <w:sz w:val="20"/>
                <w:szCs w:val="20"/>
                <w:lang w:eastAsia="hu-HU"/>
              </w:rPr>
              <w:t>317</w:t>
            </w:r>
          </w:p>
        </w:tc>
        <w:tc>
          <w:tcPr>
            <w:tcW w:w="620" w:type="dxa"/>
            <w:tcBorders>
              <w:top w:val="single" w:sz="4" w:space="0" w:color="auto"/>
              <w:left w:val="single" w:sz="4"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fldChar w:fldCharType="begin"/>
            </w:r>
            <w:r w:rsidRPr="007F54B5">
              <w:rPr>
                <w:rFonts w:ascii="Times New Roman" w:hAnsi="Times New Roman" w:cs="Times New Roman"/>
                <w:b/>
                <w:bCs/>
                <w:color w:val="000000"/>
                <w:sz w:val="20"/>
                <w:szCs w:val="20"/>
              </w:rPr>
              <w:instrText xml:space="preserve"> =SUM(ABOVE) </w:instrText>
            </w:r>
            <w:r w:rsidRPr="007F54B5">
              <w:rPr>
                <w:rFonts w:ascii="Times New Roman" w:hAnsi="Times New Roman" w:cs="Times New Roman"/>
                <w:b/>
                <w:bCs/>
                <w:color w:val="000000"/>
                <w:sz w:val="20"/>
                <w:szCs w:val="20"/>
              </w:rPr>
              <w:fldChar w:fldCharType="separate"/>
            </w:r>
            <w:r w:rsidRPr="007F54B5">
              <w:rPr>
                <w:rFonts w:ascii="Times New Roman" w:hAnsi="Times New Roman" w:cs="Times New Roman"/>
                <w:b/>
                <w:bCs/>
                <w:noProof/>
                <w:color w:val="000000"/>
                <w:sz w:val="20"/>
                <w:szCs w:val="20"/>
              </w:rPr>
              <w:t>34</w:t>
            </w:r>
            <w:r w:rsidRPr="007F54B5">
              <w:rPr>
                <w:rFonts w:ascii="Times New Roman" w:hAnsi="Times New Roman" w:cs="Times New Roman"/>
                <w:b/>
                <w:bCs/>
                <w:color w:val="000000"/>
                <w:sz w:val="20"/>
                <w:szCs w:val="20"/>
              </w:rPr>
              <w:fldChar w:fldCharType="end"/>
            </w:r>
          </w:p>
        </w:tc>
        <w:tc>
          <w:tcPr>
            <w:tcW w:w="620" w:type="dxa"/>
            <w:tcBorders>
              <w:top w:val="single" w:sz="4" w:space="0" w:color="auto"/>
              <w:left w:val="single" w:sz="4"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10</w:t>
            </w:r>
          </w:p>
        </w:tc>
        <w:tc>
          <w:tcPr>
            <w:tcW w:w="620" w:type="dxa"/>
            <w:tcBorders>
              <w:top w:val="single" w:sz="4" w:space="0" w:color="auto"/>
              <w:left w:val="single" w:sz="4"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fldChar w:fldCharType="begin"/>
            </w:r>
            <w:r w:rsidRPr="007F54B5">
              <w:rPr>
                <w:rFonts w:ascii="Times New Roman" w:hAnsi="Times New Roman" w:cs="Times New Roman"/>
                <w:b/>
                <w:bCs/>
                <w:color w:val="000000"/>
                <w:sz w:val="20"/>
                <w:szCs w:val="20"/>
              </w:rPr>
              <w:instrText xml:space="preserve"> =SUM(ABOVE) </w:instrText>
            </w:r>
            <w:r w:rsidRPr="007F54B5">
              <w:rPr>
                <w:rFonts w:ascii="Times New Roman" w:hAnsi="Times New Roman" w:cs="Times New Roman"/>
                <w:b/>
                <w:bCs/>
                <w:color w:val="000000"/>
                <w:sz w:val="20"/>
                <w:szCs w:val="20"/>
              </w:rPr>
              <w:fldChar w:fldCharType="separate"/>
            </w:r>
            <w:r w:rsidRPr="007F54B5">
              <w:rPr>
                <w:rFonts w:ascii="Times New Roman" w:hAnsi="Times New Roman" w:cs="Times New Roman"/>
                <w:b/>
                <w:bCs/>
                <w:noProof/>
                <w:color w:val="000000"/>
                <w:sz w:val="20"/>
                <w:szCs w:val="20"/>
              </w:rPr>
              <w:t>120</w:t>
            </w:r>
            <w:r w:rsidRPr="007F54B5">
              <w:rPr>
                <w:rFonts w:ascii="Times New Roman" w:hAnsi="Times New Roman" w:cs="Times New Roman"/>
                <w:b/>
                <w:bCs/>
                <w:color w:val="000000"/>
                <w:sz w:val="20"/>
                <w:szCs w:val="20"/>
              </w:rPr>
              <w:fldChar w:fldCharType="end"/>
            </w:r>
          </w:p>
        </w:tc>
        <w:tc>
          <w:tcPr>
            <w:tcW w:w="555" w:type="dxa"/>
            <w:tcBorders>
              <w:top w:val="single" w:sz="4" w:space="0" w:color="auto"/>
              <w:left w:val="single" w:sz="4"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15</w:t>
            </w:r>
          </w:p>
        </w:tc>
        <w:tc>
          <w:tcPr>
            <w:tcW w:w="579" w:type="dxa"/>
            <w:tcBorders>
              <w:top w:val="single" w:sz="4" w:space="0" w:color="auto"/>
              <w:left w:val="single" w:sz="4"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15</w:t>
            </w:r>
          </w:p>
        </w:tc>
        <w:tc>
          <w:tcPr>
            <w:tcW w:w="567" w:type="dxa"/>
            <w:tcBorders>
              <w:top w:val="single" w:sz="4" w:space="0" w:color="auto"/>
              <w:left w:val="single" w:sz="4"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52</w:t>
            </w:r>
          </w:p>
        </w:tc>
        <w:tc>
          <w:tcPr>
            <w:tcW w:w="567" w:type="dxa"/>
            <w:tcBorders>
              <w:top w:val="single" w:sz="4" w:space="0" w:color="auto"/>
              <w:left w:val="single" w:sz="4"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51</w:t>
            </w:r>
          </w:p>
        </w:tc>
        <w:tc>
          <w:tcPr>
            <w:tcW w:w="638" w:type="dxa"/>
            <w:tcBorders>
              <w:top w:val="single" w:sz="4" w:space="0" w:color="auto"/>
              <w:left w:val="single" w:sz="4"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5</w:t>
            </w:r>
          </w:p>
        </w:tc>
        <w:tc>
          <w:tcPr>
            <w:tcW w:w="567" w:type="dxa"/>
            <w:tcBorders>
              <w:top w:val="single" w:sz="4" w:space="0" w:color="auto"/>
              <w:left w:val="single" w:sz="4" w:space="0" w:color="auto"/>
              <w:bottom w:val="single" w:sz="18" w:space="0" w:color="auto"/>
              <w:right w:val="single" w:sz="4" w:space="0" w:color="auto"/>
            </w:tcBorders>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5</w:t>
            </w:r>
          </w:p>
        </w:tc>
        <w:tc>
          <w:tcPr>
            <w:tcW w:w="567" w:type="dxa"/>
            <w:tcBorders>
              <w:top w:val="single" w:sz="4" w:space="0" w:color="auto"/>
              <w:left w:val="single" w:sz="4" w:space="0" w:color="auto"/>
              <w:bottom w:val="single" w:sz="18" w:space="0" w:color="auto"/>
              <w:right w:val="single" w:sz="4"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6</w:t>
            </w:r>
          </w:p>
        </w:tc>
        <w:tc>
          <w:tcPr>
            <w:tcW w:w="567" w:type="dxa"/>
            <w:tcBorders>
              <w:top w:val="single" w:sz="4" w:space="0" w:color="auto"/>
              <w:left w:val="single" w:sz="4" w:space="0" w:color="auto"/>
              <w:bottom w:val="single" w:sz="18" w:space="0" w:color="auto"/>
              <w:right w:val="single" w:sz="18" w:space="0" w:color="auto"/>
            </w:tcBorders>
            <w:shd w:val="clear" w:color="auto" w:fill="auto"/>
            <w:noWrap/>
            <w:vAlign w:val="bottom"/>
          </w:tcPr>
          <w:p w:rsidR="006B539C" w:rsidRPr="007F54B5" w:rsidRDefault="006B539C" w:rsidP="00817F7E">
            <w:pPr>
              <w:jc w:val="center"/>
              <w:rPr>
                <w:rFonts w:ascii="Times New Roman" w:hAnsi="Times New Roman" w:cs="Times New Roman"/>
                <w:b/>
                <w:bCs/>
                <w:color w:val="000000"/>
                <w:sz w:val="20"/>
                <w:szCs w:val="20"/>
              </w:rPr>
            </w:pPr>
            <w:r w:rsidRPr="007F54B5">
              <w:rPr>
                <w:rFonts w:ascii="Times New Roman" w:hAnsi="Times New Roman" w:cs="Times New Roman"/>
                <w:b/>
                <w:bCs/>
                <w:color w:val="000000"/>
                <w:sz w:val="20"/>
                <w:szCs w:val="20"/>
              </w:rPr>
              <w:t>4</w:t>
            </w:r>
          </w:p>
        </w:tc>
      </w:tr>
    </w:tbl>
    <w:p w:rsidR="006B539C" w:rsidRDefault="006B539C" w:rsidP="00467D7A">
      <w:pPr>
        <w:rPr>
          <w:rFonts w:ascii="Times New Roman" w:eastAsia="Times New Roman" w:hAnsi="Times New Roman" w:cs="Times New Roman"/>
          <w:bCs/>
          <w:iCs/>
          <w:lang w:eastAsia="hu-HU"/>
        </w:rPr>
      </w:pPr>
    </w:p>
    <w:p w:rsidR="0000204A" w:rsidRPr="00C83AE4" w:rsidRDefault="0000204A" w:rsidP="00467D7A">
      <w:pPr>
        <w:autoSpaceDE w:val="0"/>
        <w:autoSpaceDN w:val="0"/>
        <w:adjustRightInd w:val="0"/>
        <w:rPr>
          <w:rFonts w:ascii="Times New Roman" w:hAnsi="Times New Roman" w:cs="Times New Roman"/>
        </w:rPr>
      </w:pPr>
      <w:r w:rsidRPr="00C83AE4">
        <w:rPr>
          <w:rFonts w:ascii="Times New Roman" w:hAnsi="Times New Roman" w:cs="Times New Roman"/>
        </w:rPr>
        <w:t xml:space="preserve">A helyben befejezett 307 döntésből 34 zárult </w:t>
      </w:r>
      <w:r w:rsidRPr="00C83AE4">
        <w:rPr>
          <w:rFonts w:ascii="Times New Roman" w:hAnsi="Times New Roman" w:cs="Times New Roman"/>
          <w:b/>
          <w:i/>
        </w:rPr>
        <w:t>egyezséggel,</w:t>
      </w:r>
      <w:r w:rsidRPr="00C83AE4">
        <w:rPr>
          <w:rFonts w:ascii="Times New Roman" w:hAnsi="Times New Roman" w:cs="Times New Roman"/>
        </w:rPr>
        <w:t xml:space="preserve"> illetve 15 azért került megszüntetésre, mert a Felek </w:t>
      </w:r>
      <w:r w:rsidRPr="00C83AE4">
        <w:rPr>
          <w:rFonts w:ascii="Times New Roman" w:hAnsi="Times New Roman" w:cs="Times New Roman"/>
          <w:b/>
          <w:i/>
        </w:rPr>
        <w:t>megegyeztek egymással</w:t>
      </w:r>
      <w:r w:rsidRPr="00C83AE4">
        <w:rPr>
          <w:rFonts w:ascii="Times New Roman" w:hAnsi="Times New Roman" w:cs="Times New Roman"/>
        </w:rPr>
        <w:t>.  A 49 „egyezséges” ügyet feltétlenül pozitívan kell értékelni (15,95 %-os arány), különösen akkor, ha a korábbi év 26 egyezségével hasonlítjuk össze.</w:t>
      </w:r>
    </w:p>
    <w:p w:rsidR="00CB4389" w:rsidRPr="00C83AE4" w:rsidRDefault="00CB4389" w:rsidP="00467D7A">
      <w:pPr>
        <w:autoSpaceDE w:val="0"/>
        <w:autoSpaceDN w:val="0"/>
        <w:adjustRightInd w:val="0"/>
        <w:rPr>
          <w:rFonts w:ascii="Times New Roman" w:hAnsi="Times New Roman" w:cs="Times New Roman"/>
        </w:rPr>
      </w:pPr>
    </w:p>
    <w:p w:rsidR="0000204A" w:rsidRPr="00C83AE4" w:rsidRDefault="00232C9F" w:rsidP="00467D7A">
      <w:pPr>
        <w:autoSpaceDE w:val="0"/>
        <w:autoSpaceDN w:val="0"/>
        <w:adjustRightInd w:val="0"/>
        <w:rPr>
          <w:rFonts w:ascii="Times New Roman" w:hAnsi="Times New Roman" w:cs="Times New Roman"/>
        </w:rPr>
      </w:pPr>
      <w:r w:rsidRPr="00C83AE4">
        <w:rPr>
          <w:rFonts w:ascii="Times New Roman" w:hAnsi="Times New Roman" w:cs="Times New Roman"/>
          <w:b/>
          <w:i/>
        </w:rPr>
        <w:t>Kötelezést tartalmazó</w:t>
      </w:r>
      <w:r w:rsidRPr="00C83AE4">
        <w:rPr>
          <w:rFonts w:ascii="Times New Roman" w:hAnsi="Times New Roman" w:cs="Times New Roman"/>
        </w:rPr>
        <w:t xml:space="preserve"> határozat</w:t>
      </w:r>
      <w:r w:rsidR="0000204A" w:rsidRPr="00C83AE4">
        <w:rPr>
          <w:rFonts w:ascii="Times New Roman" w:hAnsi="Times New Roman" w:cs="Times New Roman"/>
        </w:rPr>
        <w:t xml:space="preserve">ot </w:t>
      </w:r>
      <w:r w:rsidRPr="00C83AE4">
        <w:rPr>
          <w:rFonts w:ascii="Times New Roman" w:hAnsi="Times New Roman" w:cs="Times New Roman"/>
        </w:rPr>
        <w:t>10-et (2014-ben egyet) hoztunk.</w:t>
      </w:r>
    </w:p>
    <w:p w:rsidR="00232C9F" w:rsidRPr="00C83AE4" w:rsidRDefault="00232C9F" w:rsidP="00467D7A">
      <w:pPr>
        <w:autoSpaceDE w:val="0"/>
        <w:autoSpaceDN w:val="0"/>
        <w:adjustRightInd w:val="0"/>
        <w:rPr>
          <w:rFonts w:ascii="Times New Roman" w:hAnsi="Times New Roman" w:cs="Times New Roman"/>
        </w:rPr>
      </w:pPr>
      <w:r w:rsidRPr="00C83AE4">
        <w:rPr>
          <w:rFonts w:ascii="Times New Roman" w:hAnsi="Times New Roman" w:cs="Times New Roman"/>
        </w:rPr>
        <w:t xml:space="preserve">Nyilvánvalóan alapvetően az alávetések száma határozza meg, hogy hány kötelezést tartalmazó határozat hozható. Általános alávetési nyilatkozatot nem tett egyetlen </w:t>
      </w:r>
      <w:r w:rsidR="00830E45" w:rsidRPr="00C83AE4">
        <w:rPr>
          <w:rFonts w:ascii="Times New Roman" w:hAnsi="Times New Roman" w:cs="Times New Roman"/>
        </w:rPr>
        <w:t>Vállalkozás</w:t>
      </w:r>
      <w:r w:rsidRPr="00C83AE4">
        <w:rPr>
          <w:rFonts w:ascii="Times New Roman" w:hAnsi="Times New Roman" w:cs="Times New Roman"/>
        </w:rPr>
        <w:t xml:space="preserve"> sem. Volt arra is példa, hogy az alávetés ellenére megszüntetésre került az eljárás, mert nem voltak meg a kötelezés feltételei.</w:t>
      </w:r>
    </w:p>
    <w:p w:rsidR="00CB4389" w:rsidRPr="00C83AE4" w:rsidRDefault="00CB4389" w:rsidP="00467D7A">
      <w:pPr>
        <w:autoSpaceDE w:val="0"/>
        <w:autoSpaceDN w:val="0"/>
        <w:adjustRightInd w:val="0"/>
        <w:rPr>
          <w:rFonts w:ascii="Times New Roman" w:hAnsi="Times New Roman" w:cs="Times New Roman"/>
        </w:rPr>
      </w:pPr>
    </w:p>
    <w:p w:rsidR="00467D7A" w:rsidRPr="00C83AE4" w:rsidRDefault="00232C9F" w:rsidP="00467D7A">
      <w:pPr>
        <w:autoSpaceDE w:val="0"/>
        <w:autoSpaceDN w:val="0"/>
        <w:adjustRightInd w:val="0"/>
        <w:rPr>
          <w:rFonts w:ascii="Times New Roman" w:hAnsi="Times New Roman" w:cs="Times New Roman"/>
        </w:rPr>
      </w:pPr>
      <w:r w:rsidRPr="00C83AE4">
        <w:rPr>
          <w:rFonts w:ascii="Times New Roman" w:hAnsi="Times New Roman" w:cs="Times New Roman"/>
        </w:rPr>
        <w:t xml:space="preserve">Az </w:t>
      </w:r>
      <w:r w:rsidRPr="00C83AE4">
        <w:rPr>
          <w:rFonts w:ascii="Times New Roman" w:hAnsi="Times New Roman" w:cs="Times New Roman"/>
          <w:b/>
          <w:i/>
        </w:rPr>
        <w:t>ajánlások száma</w:t>
      </w:r>
      <w:r w:rsidRPr="00C83AE4">
        <w:rPr>
          <w:rFonts w:ascii="Times New Roman" w:hAnsi="Times New Roman" w:cs="Times New Roman"/>
        </w:rPr>
        <w:t xml:space="preserve"> 12-vel volt több 2015-ben, mint az előző évben. Ezek teljesítésével kapcsolatosan v</w:t>
      </w:r>
      <w:r w:rsidR="00467D7A" w:rsidRPr="00C83AE4">
        <w:rPr>
          <w:rFonts w:ascii="Times New Roman" w:hAnsi="Times New Roman" w:cs="Times New Roman"/>
        </w:rPr>
        <w:t xml:space="preserve">áltozatlanul csak azt mondhatjuk, hogy e tekintetben arra kell hagyatkoznunk, amit bejelentenek a fogyasztók, vagy adott esetben a </w:t>
      </w:r>
      <w:r w:rsidR="00830E45" w:rsidRPr="00C83AE4">
        <w:rPr>
          <w:rFonts w:ascii="Times New Roman" w:hAnsi="Times New Roman" w:cs="Times New Roman"/>
        </w:rPr>
        <w:t>Vállalkozás</w:t>
      </w:r>
      <w:r w:rsidR="00467D7A" w:rsidRPr="00C83AE4">
        <w:rPr>
          <w:rFonts w:ascii="Times New Roman" w:hAnsi="Times New Roman" w:cs="Times New Roman"/>
        </w:rPr>
        <w:t>ok, és amelyeket így a honlapon közzéteszünk.</w:t>
      </w:r>
    </w:p>
    <w:p w:rsidR="00467D7A" w:rsidRPr="00CB4389" w:rsidRDefault="00467D7A" w:rsidP="00467D7A">
      <w:pPr>
        <w:autoSpaceDE w:val="0"/>
        <w:autoSpaceDN w:val="0"/>
        <w:adjustRightInd w:val="0"/>
        <w:rPr>
          <w:rFonts w:ascii="Times New Roman" w:hAnsi="Times New Roman" w:cs="Times New Roman"/>
          <w:b/>
          <w:sz w:val="22"/>
          <w:szCs w:val="22"/>
        </w:rPr>
      </w:pPr>
    </w:p>
    <w:p w:rsidR="00467D7A" w:rsidRPr="00C83AE4" w:rsidRDefault="00467D7A" w:rsidP="00467D7A">
      <w:pPr>
        <w:autoSpaceDE w:val="0"/>
        <w:autoSpaceDN w:val="0"/>
        <w:adjustRightInd w:val="0"/>
        <w:rPr>
          <w:rFonts w:ascii="Times New Roman" w:hAnsi="Times New Roman" w:cs="Times New Roman"/>
          <w:b/>
        </w:rPr>
      </w:pPr>
      <w:r w:rsidRPr="00C83AE4">
        <w:rPr>
          <w:rFonts w:ascii="Times New Roman" w:hAnsi="Times New Roman" w:cs="Times New Roman"/>
          <w:b/>
        </w:rPr>
        <w:t>Egyezséget jóváhagyó, illetve kötelezést tartalmazó határozatot 44-et, ajánlást pedig 120-at hoztak az eljáró tanácsok. (</w:t>
      </w:r>
      <w:r w:rsidRPr="00C83AE4">
        <w:rPr>
          <w:rFonts w:ascii="Times New Roman" w:hAnsi="Times New Roman" w:cs="Times New Roman"/>
        </w:rPr>
        <w:t>Ez az összes ügy 53,42 %-a volt</w:t>
      </w:r>
      <w:r w:rsidRPr="00C83AE4">
        <w:rPr>
          <w:rFonts w:ascii="Times New Roman" w:hAnsi="Times New Roman" w:cs="Times New Roman"/>
          <w:b/>
        </w:rPr>
        <w:t>.) A 164 meghozott döntéssel kapcsolatosan 25 bejelentést tettek (ajánlások nem teljesítése miatt) - ez 15,24 %-ot tett ki.  Ha csak a 120 ajánláshoz viszonyítjuk, akkor 20,83 %-ot tettek ki a nem teljesített ajánlások.</w:t>
      </w:r>
    </w:p>
    <w:p w:rsidR="00467D7A" w:rsidRPr="00C83AE4" w:rsidRDefault="00467D7A" w:rsidP="00467D7A">
      <w:pPr>
        <w:autoSpaceDE w:val="0"/>
        <w:autoSpaceDN w:val="0"/>
        <w:adjustRightInd w:val="0"/>
        <w:rPr>
          <w:rFonts w:ascii="Times New Roman" w:hAnsi="Times New Roman" w:cs="Times New Roman"/>
        </w:rPr>
      </w:pPr>
    </w:p>
    <w:p w:rsidR="00467D7A" w:rsidRPr="00C83AE4" w:rsidRDefault="00467D7A" w:rsidP="00467D7A">
      <w:pPr>
        <w:autoSpaceDE w:val="0"/>
        <w:autoSpaceDN w:val="0"/>
        <w:adjustRightInd w:val="0"/>
        <w:rPr>
          <w:rFonts w:ascii="Times New Roman" w:hAnsi="Times New Roman" w:cs="Times New Roman"/>
        </w:rPr>
      </w:pPr>
      <w:r w:rsidRPr="00C83AE4">
        <w:rPr>
          <w:rFonts w:ascii="Times New Roman" w:hAnsi="Times New Roman" w:cs="Times New Roman"/>
        </w:rPr>
        <w:t xml:space="preserve">Megemlítjük, hogy 33 </w:t>
      </w:r>
      <w:r w:rsidRPr="00C83AE4">
        <w:rPr>
          <w:rFonts w:ascii="Times New Roman" w:hAnsi="Times New Roman" w:cs="Times New Roman"/>
          <w:b/>
          <w:i/>
        </w:rPr>
        <w:t xml:space="preserve">nem együttműködő </w:t>
      </w:r>
      <w:r w:rsidR="00830E45" w:rsidRPr="00C83AE4">
        <w:rPr>
          <w:rFonts w:ascii="Times New Roman" w:hAnsi="Times New Roman" w:cs="Times New Roman"/>
          <w:b/>
          <w:i/>
        </w:rPr>
        <w:t>Vállalkozás</w:t>
      </w:r>
      <w:r w:rsidRPr="00C83AE4">
        <w:rPr>
          <w:rFonts w:ascii="Times New Roman" w:hAnsi="Times New Roman" w:cs="Times New Roman"/>
          <w:b/>
          <w:i/>
        </w:rPr>
        <w:t>t</w:t>
      </w:r>
      <w:r w:rsidRPr="00C83AE4">
        <w:rPr>
          <w:rFonts w:ascii="Times New Roman" w:hAnsi="Times New Roman" w:cs="Times New Roman"/>
        </w:rPr>
        <w:t xml:space="preserve"> tettünk közzé a honlapon. Közöttük 4 olyan van, akit bejelentettek, hogy az ajánlást nem teljesítették (közzétételük megtörtént), vagyis 29 olyan </w:t>
      </w:r>
      <w:r w:rsidR="00830E45" w:rsidRPr="00C83AE4">
        <w:rPr>
          <w:rFonts w:ascii="Times New Roman" w:hAnsi="Times New Roman" w:cs="Times New Roman"/>
        </w:rPr>
        <w:t>Vállalkozás</w:t>
      </w:r>
      <w:r w:rsidRPr="00C83AE4">
        <w:rPr>
          <w:rFonts w:ascii="Times New Roman" w:hAnsi="Times New Roman" w:cs="Times New Roman"/>
        </w:rPr>
        <w:t xml:space="preserve"> szerepel a listában, amelyik feltételezhetően az ajánlást sem teljesítette, de nem jelentették be hozzánk. (Ha ezt is hozzászámítjuk az ajánlásos ügyekhez, akkor 32,92 %-ra tehető a nem teljesítők aránya.)</w:t>
      </w:r>
    </w:p>
    <w:p w:rsidR="00467D7A" w:rsidRPr="00C83AE4" w:rsidRDefault="00467D7A" w:rsidP="00467D7A">
      <w:pPr>
        <w:autoSpaceDE w:val="0"/>
        <w:autoSpaceDN w:val="0"/>
        <w:adjustRightInd w:val="0"/>
        <w:rPr>
          <w:rFonts w:ascii="Times New Roman" w:hAnsi="Times New Roman" w:cs="Times New Roman"/>
        </w:rPr>
      </w:pPr>
    </w:p>
    <w:p w:rsidR="00467D7A" w:rsidRPr="00C83AE4" w:rsidRDefault="00467D7A" w:rsidP="00467D7A">
      <w:pPr>
        <w:autoSpaceDE w:val="0"/>
        <w:autoSpaceDN w:val="0"/>
        <w:adjustRightInd w:val="0"/>
        <w:rPr>
          <w:rFonts w:ascii="Times New Roman" w:hAnsi="Times New Roman" w:cs="Times New Roman"/>
        </w:rPr>
      </w:pPr>
      <w:r w:rsidRPr="00C83AE4">
        <w:rPr>
          <w:rFonts w:ascii="Times New Roman" w:hAnsi="Times New Roman" w:cs="Times New Roman"/>
        </w:rPr>
        <w:t xml:space="preserve">Arról is tudomásunk van, hogy egy </w:t>
      </w:r>
      <w:r w:rsidR="00830E45" w:rsidRPr="00C83AE4">
        <w:rPr>
          <w:rFonts w:ascii="Times New Roman" w:hAnsi="Times New Roman" w:cs="Times New Roman"/>
        </w:rPr>
        <w:t>Vállalkozás</w:t>
      </w:r>
      <w:r w:rsidRPr="00C83AE4">
        <w:rPr>
          <w:rFonts w:ascii="Times New Roman" w:hAnsi="Times New Roman" w:cs="Times New Roman"/>
        </w:rPr>
        <w:t>, aki termékbemutatók szervezésével foglalkozott - az egyébként általa is elismert kötelezettsége ellenére - sem fizette vissza az ajánlott időre a befizetett összegeket, de nem lehet közzétenni (még csak 30 nap telt el az ajánlás meghozatalától), annak ellenére sem, hogy a nyilvános cégadatok szerint már 10 végrehajtási eljárás van bejegyezve ellene, az ország különböző pontjain (Szegedtől – Tatabányáig). Ezért is javasoljuk már több év óta, hogy változtatásra érett lenne a 60 napos szabály.</w:t>
      </w:r>
    </w:p>
    <w:p w:rsidR="00467D7A" w:rsidRPr="00C83AE4" w:rsidRDefault="00467D7A" w:rsidP="00467D7A">
      <w:pPr>
        <w:autoSpaceDE w:val="0"/>
        <w:autoSpaceDN w:val="0"/>
        <w:adjustRightInd w:val="0"/>
        <w:rPr>
          <w:rFonts w:ascii="Times New Roman" w:hAnsi="Times New Roman" w:cs="Times New Roman"/>
        </w:rPr>
      </w:pPr>
    </w:p>
    <w:p w:rsidR="00467D7A" w:rsidRPr="00C83AE4" w:rsidRDefault="00467D7A" w:rsidP="00467D7A">
      <w:pPr>
        <w:autoSpaceDE w:val="0"/>
        <w:autoSpaceDN w:val="0"/>
        <w:adjustRightInd w:val="0"/>
        <w:rPr>
          <w:rFonts w:ascii="Times New Roman" w:hAnsi="Times New Roman" w:cs="Times New Roman"/>
        </w:rPr>
      </w:pPr>
      <w:r w:rsidRPr="00C83AE4">
        <w:rPr>
          <w:rFonts w:ascii="Times New Roman" w:hAnsi="Times New Roman" w:cs="Times New Roman"/>
        </w:rPr>
        <w:t xml:space="preserve">Itt is megemlítjük a közismert cipőkkel foglalkozó </w:t>
      </w:r>
      <w:r w:rsidR="00830E45" w:rsidRPr="00C83AE4">
        <w:rPr>
          <w:rFonts w:ascii="Times New Roman" w:hAnsi="Times New Roman" w:cs="Times New Roman"/>
        </w:rPr>
        <w:t>Vállalkozás</w:t>
      </w:r>
      <w:r w:rsidRPr="00C83AE4">
        <w:rPr>
          <w:rFonts w:ascii="Times New Roman" w:hAnsi="Times New Roman" w:cs="Times New Roman"/>
        </w:rPr>
        <w:t>t, akivel kapcsolatban a megkeresések száma is csökkent, és 2015 májusa óta nem volt negatív visszajelzés a teljesítését illetően.</w:t>
      </w:r>
    </w:p>
    <w:p w:rsidR="00467D7A" w:rsidRPr="00C83AE4" w:rsidRDefault="00467D7A" w:rsidP="00467D7A">
      <w:pPr>
        <w:autoSpaceDE w:val="0"/>
        <w:autoSpaceDN w:val="0"/>
        <w:adjustRightInd w:val="0"/>
        <w:rPr>
          <w:rFonts w:ascii="Times New Roman" w:hAnsi="Times New Roman" w:cs="Times New Roman"/>
        </w:rPr>
      </w:pPr>
    </w:p>
    <w:p w:rsidR="00467D7A" w:rsidRPr="00C83AE4" w:rsidRDefault="00467D7A" w:rsidP="00232C9F">
      <w:pPr>
        <w:autoSpaceDE w:val="0"/>
        <w:autoSpaceDN w:val="0"/>
        <w:adjustRightInd w:val="0"/>
        <w:rPr>
          <w:rFonts w:ascii="Times New Roman" w:hAnsi="Times New Roman" w:cs="Times New Roman"/>
        </w:rPr>
      </w:pPr>
      <w:r w:rsidRPr="00C83AE4">
        <w:rPr>
          <w:rFonts w:ascii="Times New Roman" w:hAnsi="Times New Roman" w:cs="Times New Roman"/>
        </w:rPr>
        <w:t xml:space="preserve">Azt is kiemeljük, hogy </w:t>
      </w:r>
      <w:r w:rsidRPr="00C83AE4">
        <w:rPr>
          <w:rFonts w:ascii="Times New Roman" w:hAnsi="Times New Roman" w:cs="Times New Roman"/>
          <w:b/>
          <w:i/>
        </w:rPr>
        <w:t>2015-ben sem fordult elő, hogy a meghozott döntésekkel szemben bírósági eljárást kezdeményeztek volna</w:t>
      </w:r>
      <w:r w:rsidRPr="00C83AE4">
        <w:rPr>
          <w:rFonts w:ascii="Times New Roman" w:hAnsi="Times New Roman" w:cs="Times New Roman"/>
        </w:rPr>
        <w:t>.</w:t>
      </w:r>
    </w:p>
    <w:p w:rsidR="0098327B" w:rsidRPr="00C83AE4" w:rsidRDefault="0098327B" w:rsidP="00467D7A">
      <w:pPr>
        <w:rPr>
          <w:rFonts w:ascii="Times New Roman" w:eastAsia="Times New Roman" w:hAnsi="Times New Roman" w:cs="Times New Roman"/>
          <w:bCs/>
          <w:iCs/>
          <w:lang w:eastAsia="hu-HU"/>
        </w:rPr>
      </w:pPr>
    </w:p>
    <w:p w:rsidR="00A62422" w:rsidRPr="00C83AE4" w:rsidRDefault="00A62422" w:rsidP="00232C9F">
      <w:pPr>
        <w:rPr>
          <w:rFonts w:ascii="Times New Roman" w:eastAsia="Times New Roman" w:hAnsi="Times New Roman" w:cs="Times New Roman"/>
          <w:bCs/>
          <w:i/>
          <w:iCs/>
          <w:u w:val="single"/>
          <w:lang w:eastAsia="hu-HU"/>
        </w:rPr>
      </w:pPr>
      <w:r w:rsidRPr="00C83AE4">
        <w:rPr>
          <w:rFonts w:ascii="Times New Roman" w:eastAsia="Times New Roman" w:hAnsi="Times New Roman" w:cs="Times New Roman"/>
          <w:b/>
          <w:bCs/>
          <w:i/>
          <w:iCs/>
          <w:u w:val="single"/>
          <w:lang w:eastAsia="hu-HU"/>
        </w:rPr>
        <w:t>2.4.</w:t>
      </w:r>
      <w:r w:rsidRPr="00C83AE4">
        <w:rPr>
          <w:rFonts w:ascii="Times New Roman" w:eastAsia="Times New Roman" w:hAnsi="Times New Roman" w:cs="Times New Roman"/>
          <w:bCs/>
          <w:i/>
          <w:iCs/>
          <w:u w:val="single"/>
          <w:lang w:eastAsia="hu-HU"/>
        </w:rPr>
        <w:t xml:space="preserve"> Ismertesse a kérelem meghallgatás kitűzése nélküli elutasításának hátterében álló okokat, és ezek testületnél előforduló arányát.</w:t>
      </w:r>
    </w:p>
    <w:p w:rsidR="00232C9F" w:rsidRPr="00C83AE4" w:rsidRDefault="00232C9F" w:rsidP="00232C9F">
      <w:pPr>
        <w:rPr>
          <w:rFonts w:ascii="Times New Roman" w:eastAsia="Times New Roman" w:hAnsi="Times New Roman" w:cs="Times New Roman"/>
          <w:bCs/>
          <w:i/>
          <w:iCs/>
          <w:u w:val="single"/>
          <w:lang w:eastAsia="hu-HU"/>
        </w:rPr>
      </w:pPr>
    </w:p>
    <w:p w:rsidR="00024623" w:rsidRPr="00C83AE4" w:rsidRDefault="00024623" w:rsidP="00024623">
      <w:pPr>
        <w:autoSpaceDE w:val="0"/>
        <w:autoSpaceDN w:val="0"/>
        <w:adjustRightInd w:val="0"/>
        <w:rPr>
          <w:rFonts w:ascii="Times New Roman" w:hAnsi="Times New Roman" w:cs="Times New Roman"/>
          <w:i/>
        </w:rPr>
      </w:pPr>
      <w:r w:rsidRPr="00C83AE4">
        <w:rPr>
          <w:rFonts w:ascii="Times New Roman" w:hAnsi="Times New Roman" w:cs="Times New Roman"/>
          <w:b/>
          <w:bCs/>
        </w:rPr>
        <w:t xml:space="preserve">A Fgytv. 2015. szeptember 11-i hatálybalépésétől tartalmazza a 29. § (4a) bekezdésében, hogy </w:t>
      </w:r>
      <w:r w:rsidR="007F54B5" w:rsidRPr="00C83AE4">
        <w:rPr>
          <w:rFonts w:ascii="Times New Roman" w:hAnsi="Times New Roman" w:cs="Times New Roman"/>
        </w:rPr>
        <w:t>„</w:t>
      </w:r>
      <w:r w:rsidRPr="00C83AE4">
        <w:rPr>
          <w:rFonts w:ascii="Times New Roman" w:hAnsi="Times New Roman" w:cs="Times New Roman"/>
        </w:rPr>
        <w:t>(4a)</w:t>
      </w:r>
      <w:r w:rsidRPr="00C83AE4">
        <w:rPr>
          <w:rFonts w:ascii="Times New Roman" w:hAnsi="Times New Roman" w:cs="Times New Roman"/>
          <w:vertAlign w:val="superscript"/>
        </w:rPr>
        <w:footnoteReference w:id="1"/>
      </w:r>
      <w:r w:rsidRPr="00C83AE4">
        <w:rPr>
          <w:rFonts w:ascii="Times New Roman" w:hAnsi="Times New Roman" w:cs="Times New Roman"/>
        </w:rPr>
        <w:t xml:space="preserve"> </w:t>
      </w:r>
      <w:r w:rsidRPr="00C83AE4">
        <w:rPr>
          <w:rFonts w:ascii="Times New Roman" w:hAnsi="Times New Roman" w:cs="Times New Roman"/>
          <w:i/>
        </w:rPr>
        <w:t>Az elnök a kérelem meghallgatás kitűzése nélküli elutasítása esetén ennek tényéről, valamint indokáról a feleket a kérelem kézhezvételétől számított</w:t>
      </w:r>
      <w:r w:rsidR="007F54B5" w:rsidRPr="00C83AE4">
        <w:rPr>
          <w:rFonts w:ascii="Times New Roman" w:hAnsi="Times New Roman" w:cs="Times New Roman"/>
          <w:i/>
        </w:rPr>
        <w:t xml:space="preserve"> huszonegy napon belül értesíti.”</w:t>
      </w:r>
    </w:p>
    <w:p w:rsidR="00024623" w:rsidRPr="00C83AE4" w:rsidRDefault="00024623" w:rsidP="00024623">
      <w:pPr>
        <w:autoSpaceDE w:val="0"/>
        <w:autoSpaceDN w:val="0"/>
        <w:adjustRightInd w:val="0"/>
        <w:ind w:firstLine="204"/>
        <w:rPr>
          <w:rFonts w:ascii="Times New Roman" w:hAnsi="Times New Roman" w:cs="Times New Roman"/>
        </w:rPr>
      </w:pPr>
    </w:p>
    <w:p w:rsidR="00024623" w:rsidRPr="00C83AE4" w:rsidRDefault="00024623" w:rsidP="00024623">
      <w:pPr>
        <w:autoSpaceDE w:val="0"/>
        <w:autoSpaceDN w:val="0"/>
        <w:adjustRightInd w:val="0"/>
        <w:rPr>
          <w:rFonts w:ascii="Times New Roman" w:hAnsi="Times New Roman" w:cs="Times New Roman"/>
        </w:rPr>
      </w:pPr>
      <w:r w:rsidRPr="00C83AE4">
        <w:rPr>
          <w:rFonts w:ascii="Times New Roman" w:hAnsi="Times New Roman" w:cs="Times New Roman"/>
        </w:rPr>
        <w:t>Ugyanakkor a Fgytv. az elutasításról a 32/A. §-a más körre vonatkozóan tartalmaz szabályt, nevezetesen arról, amikor már a tanács bírálja el az ügyet. [</w:t>
      </w:r>
      <w:r w:rsidRPr="00C83AE4">
        <w:rPr>
          <w:rFonts w:ascii="Times New Roman" w:hAnsi="Times New Roman" w:cs="Times New Roman"/>
          <w:bCs/>
          <w:i/>
        </w:rPr>
        <w:t>32/A. §</w:t>
      </w:r>
      <w:r w:rsidRPr="00C83AE4">
        <w:rPr>
          <w:rFonts w:ascii="Times New Roman" w:hAnsi="Times New Roman" w:cs="Times New Roman"/>
          <w:bCs/>
          <w:i/>
          <w:vertAlign w:val="superscript"/>
        </w:rPr>
        <w:footnoteReference w:id="2"/>
      </w:r>
      <w:r w:rsidRPr="00C83AE4">
        <w:rPr>
          <w:rFonts w:ascii="Times New Roman" w:hAnsi="Times New Roman" w:cs="Times New Roman"/>
          <w:bCs/>
          <w:i/>
        </w:rPr>
        <w:t xml:space="preserve"> </w:t>
      </w:r>
      <w:r w:rsidRPr="00C83AE4">
        <w:rPr>
          <w:rFonts w:ascii="Times New Roman" w:hAnsi="Times New Roman" w:cs="Times New Roman"/>
          <w:i/>
        </w:rPr>
        <w:t>A tanács a fogyasztó kérelmének elutasításáról dönt, ha a meghallgatást követően a kérelmet megalapozatlannak találja.</w:t>
      </w:r>
      <w:r w:rsidRPr="00C83AE4">
        <w:rPr>
          <w:rFonts w:ascii="Times New Roman" w:hAnsi="Times New Roman" w:cs="Times New Roman"/>
        </w:rPr>
        <w:t>]</w:t>
      </w:r>
    </w:p>
    <w:p w:rsidR="00024623" w:rsidRPr="00C83AE4" w:rsidRDefault="00024623" w:rsidP="00024623">
      <w:pPr>
        <w:autoSpaceDE w:val="0"/>
        <w:autoSpaceDN w:val="0"/>
        <w:adjustRightInd w:val="0"/>
        <w:rPr>
          <w:rFonts w:ascii="Times New Roman" w:hAnsi="Times New Roman" w:cs="Times New Roman"/>
        </w:rPr>
      </w:pPr>
    </w:p>
    <w:p w:rsidR="006B64CB" w:rsidRPr="00C83AE4" w:rsidRDefault="00024623" w:rsidP="006B64CB">
      <w:pPr>
        <w:autoSpaceDE w:val="0"/>
        <w:autoSpaceDN w:val="0"/>
        <w:adjustRightInd w:val="0"/>
        <w:rPr>
          <w:rFonts w:ascii="Times New Roman" w:hAnsi="Times New Roman" w:cs="Times New Roman"/>
        </w:rPr>
      </w:pPr>
      <w:r w:rsidRPr="00C83AE4">
        <w:rPr>
          <w:rFonts w:ascii="Times New Roman" w:hAnsi="Times New Roman" w:cs="Times New Roman"/>
        </w:rPr>
        <w:t xml:space="preserve">A meghallgatás kitűzése nélküli elnöki jogkör – amire a kérdés irányul – nem elutasításról, hanem </w:t>
      </w:r>
      <w:r w:rsidRPr="00C83AE4">
        <w:rPr>
          <w:rFonts w:ascii="Times New Roman" w:hAnsi="Times New Roman" w:cs="Times New Roman"/>
          <w:i/>
        </w:rPr>
        <w:t>„megszüntetésről” szól.</w:t>
      </w:r>
      <w:r w:rsidR="006B64CB" w:rsidRPr="00C83AE4">
        <w:rPr>
          <w:rFonts w:ascii="Times New Roman" w:hAnsi="Times New Roman" w:cs="Times New Roman"/>
          <w:i/>
        </w:rPr>
        <w:t xml:space="preserve"> </w:t>
      </w:r>
      <w:r w:rsidR="006B64CB" w:rsidRPr="00C83AE4">
        <w:rPr>
          <w:rFonts w:ascii="Times New Roman" w:hAnsi="Times New Roman" w:cs="Times New Roman"/>
        </w:rPr>
        <w:t xml:space="preserve">Igaz, a 34. § (3) bekezdés c) pontja is azt mondja ki, hogy a hatályon kívül helyezést akkor is kérheti a fél, ha a 29. § (4) bekezdésében meghatározott okból a kérelem meghallgatás nélküli elutasításának lett volna helye. </w:t>
      </w:r>
    </w:p>
    <w:p w:rsidR="007F54B5" w:rsidRPr="00C83AE4" w:rsidRDefault="006B64CB" w:rsidP="00024623">
      <w:pPr>
        <w:autoSpaceDE w:val="0"/>
        <w:autoSpaceDN w:val="0"/>
        <w:adjustRightInd w:val="0"/>
        <w:rPr>
          <w:rFonts w:ascii="Times New Roman" w:hAnsi="Times New Roman" w:cs="Times New Roman"/>
        </w:rPr>
      </w:pPr>
      <w:r w:rsidRPr="00C83AE4">
        <w:rPr>
          <w:rFonts w:ascii="Times New Roman" w:hAnsi="Times New Roman" w:cs="Times New Roman"/>
        </w:rPr>
        <w:t xml:space="preserve">Az az álláspontunk, hogy a fogalmakat összhangba lenne célszerű hozni egymással a jelzett §-okban [29. § (4), 29. § (4a), 32/A. §, 34. § (3), 36/A. § (2) bekezdései). </w:t>
      </w:r>
    </w:p>
    <w:p w:rsidR="007F54B5" w:rsidRPr="007F54B5" w:rsidRDefault="007F54B5" w:rsidP="00024623">
      <w:pPr>
        <w:autoSpaceDE w:val="0"/>
        <w:autoSpaceDN w:val="0"/>
        <w:adjustRightInd w:val="0"/>
        <w:rPr>
          <w:rFonts w:ascii="Times New Roman" w:hAnsi="Times New Roman" w:cs="Times New Roman"/>
        </w:rPr>
      </w:pPr>
    </w:p>
    <w:p w:rsidR="006B64CB" w:rsidRPr="00CB4389" w:rsidRDefault="006B64CB" w:rsidP="006B64CB">
      <w:pPr>
        <w:rPr>
          <w:rFonts w:ascii="Times New Roman" w:eastAsia="Times New Roman" w:hAnsi="Times New Roman" w:cs="Times New Roman"/>
          <w:bCs/>
          <w:i/>
          <w:iCs/>
          <w:u w:val="single"/>
          <w:lang w:eastAsia="hu-HU"/>
        </w:rPr>
      </w:pPr>
      <w:r w:rsidRPr="00CB4389">
        <w:rPr>
          <w:rFonts w:ascii="Times New Roman" w:eastAsia="Times New Roman" w:hAnsi="Times New Roman" w:cs="Times New Roman"/>
          <w:b/>
          <w:bCs/>
          <w:i/>
          <w:iCs/>
          <w:u w:val="single"/>
          <w:lang w:eastAsia="hu-HU"/>
        </w:rPr>
        <w:t>2.5.</w:t>
      </w:r>
      <w:r w:rsidRPr="00CB4389">
        <w:rPr>
          <w:rFonts w:ascii="Times New Roman" w:eastAsia="Times New Roman" w:hAnsi="Times New Roman" w:cs="Times New Roman"/>
          <w:bCs/>
          <w:i/>
          <w:iCs/>
          <w:u w:val="single"/>
          <w:lang w:eastAsia="hu-HU"/>
        </w:rPr>
        <w:t xml:space="preserve"> Részletezze az eljárást megszüntető döntések okait, és mutassa be azok százalékos arányát.</w:t>
      </w:r>
    </w:p>
    <w:p w:rsidR="00C64275" w:rsidRPr="0098327B" w:rsidRDefault="00C64275" w:rsidP="006B64CB">
      <w:pPr>
        <w:rPr>
          <w:rFonts w:ascii="Times New Roman" w:eastAsia="Times New Roman" w:hAnsi="Times New Roman" w:cs="Times New Roman"/>
          <w:bCs/>
          <w:i/>
          <w:iCs/>
          <w:u w:val="single"/>
          <w:lang w:eastAsia="hu-HU"/>
        </w:rPr>
      </w:pPr>
    </w:p>
    <w:p w:rsidR="00C64275" w:rsidRPr="00C83AE4" w:rsidRDefault="00C64275" w:rsidP="006B64CB">
      <w:pPr>
        <w:rPr>
          <w:rFonts w:ascii="Times New Roman" w:eastAsia="Times New Roman" w:hAnsi="Times New Roman" w:cs="Times New Roman"/>
          <w:b/>
          <w:bCs/>
          <w:iCs/>
          <w:lang w:eastAsia="hu-HU"/>
        </w:rPr>
      </w:pPr>
      <w:r w:rsidRPr="00C83AE4">
        <w:rPr>
          <w:rFonts w:ascii="Times New Roman" w:eastAsia="Times New Roman" w:hAnsi="Times New Roman" w:cs="Times New Roman"/>
          <w:b/>
          <w:bCs/>
          <w:iCs/>
          <w:lang w:eastAsia="hu-HU"/>
        </w:rPr>
        <w:t xml:space="preserve">2.5.1. Az ügyek megoldásai a teljes állományban </w:t>
      </w:r>
      <w:r w:rsidR="00830E45" w:rsidRPr="00C83AE4">
        <w:rPr>
          <w:rFonts w:ascii="Times New Roman" w:eastAsia="Times New Roman" w:hAnsi="Times New Roman" w:cs="Times New Roman"/>
          <w:b/>
          <w:bCs/>
          <w:iCs/>
          <w:lang w:eastAsia="hu-HU"/>
        </w:rPr>
        <w:t>(megszüntetés)</w:t>
      </w:r>
    </w:p>
    <w:p w:rsidR="00C64275" w:rsidRPr="00C64275" w:rsidRDefault="00C64275" w:rsidP="00C64275"/>
    <w:tbl>
      <w:tblPr>
        <w:tblW w:w="6110" w:type="dxa"/>
        <w:tblInd w:w="671" w:type="dxa"/>
        <w:tblLayout w:type="fixed"/>
        <w:tblCellMar>
          <w:left w:w="70" w:type="dxa"/>
          <w:right w:w="70" w:type="dxa"/>
        </w:tblCellMar>
        <w:tblLook w:val="04A0" w:firstRow="1" w:lastRow="0" w:firstColumn="1" w:lastColumn="0" w:noHBand="0" w:noVBand="1"/>
      </w:tblPr>
      <w:tblGrid>
        <w:gridCol w:w="763"/>
        <w:gridCol w:w="528"/>
        <w:gridCol w:w="567"/>
        <w:gridCol w:w="567"/>
        <w:gridCol w:w="567"/>
        <w:gridCol w:w="567"/>
        <w:gridCol w:w="567"/>
        <w:gridCol w:w="708"/>
        <w:gridCol w:w="638"/>
        <w:gridCol w:w="71"/>
        <w:gridCol w:w="567"/>
      </w:tblGrid>
      <w:tr w:rsidR="00C64275" w:rsidRPr="00C64275" w:rsidTr="00CB4389">
        <w:trPr>
          <w:trHeight w:val="163"/>
          <w:tblHeader/>
        </w:trPr>
        <w:tc>
          <w:tcPr>
            <w:tcW w:w="763" w:type="dxa"/>
            <w:vMerge w:val="restart"/>
            <w:tcBorders>
              <w:top w:val="single" w:sz="18" w:space="0" w:color="000000"/>
              <w:left w:val="single" w:sz="18" w:space="0" w:color="auto"/>
              <w:bottom w:val="single" w:sz="18" w:space="0" w:color="000000"/>
              <w:right w:val="single" w:sz="8" w:space="0" w:color="000000"/>
            </w:tcBorders>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p>
          <w:p w:rsidR="00C64275" w:rsidRPr="00C64275" w:rsidRDefault="00C64275" w:rsidP="00C64275">
            <w:pPr>
              <w:jc w:val="center"/>
              <w:rPr>
                <w:rFonts w:ascii="Times New Roman" w:eastAsia="Times New Roman" w:hAnsi="Times New Roman" w:cs="Times New Roman"/>
                <w:b/>
                <w:bCs/>
                <w:color w:val="000000"/>
                <w:sz w:val="16"/>
                <w:szCs w:val="16"/>
                <w:lang w:eastAsia="hu-HU"/>
              </w:rPr>
            </w:pPr>
          </w:p>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2015.</w:t>
            </w:r>
          </w:p>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év</w:t>
            </w:r>
          </w:p>
        </w:tc>
        <w:tc>
          <w:tcPr>
            <w:tcW w:w="528" w:type="dxa"/>
            <w:vMerge w:val="restart"/>
            <w:tcBorders>
              <w:top w:val="single" w:sz="18" w:space="0" w:color="000000"/>
              <w:left w:val="single" w:sz="8" w:space="0" w:color="000000"/>
              <w:bottom w:val="single" w:sz="18" w:space="0" w:color="000000"/>
              <w:right w:val="single" w:sz="18" w:space="0" w:color="auto"/>
            </w:tcBorders>
          </w:tcPr>
          <w:p w:rsidR="00C64275" w:rsidRPr="00C64275" w:rsidRDefault="00C64275" w:rsidP="00C64275">
            <w:pPr>
              <w:jc w:val="left"/>
              <w:rPr>
                <w:rFonts w:ascii="Times New Roman" w:eastAsia="Times New Roman" w:hAnsi="Times New Roman" w:cs="Times New Roman"/>
                <w:b/>
                <w:bCs/>
                <w:color w:val="000000"/>
                <w:sz w:val="16"/>
                <w:szCs w:val="16"/>
                <w:lang w:eastAsia="hu-HU"/>
              </w:rPr>
            </w:pPr>
          </w:p>
          <w:p w:rsidR="00C64275" w:rsidRPr="00C64275" w:rsidRDefault="00C64275" w:rsidP="00C64275">
            <w:pPr>
              <w:jc w:val="left"/>
              <w:rPr>
                <w:rFonts w:ascii="Times New Roman" w:eastAsia="Times New Roman" w:hAnsi="Times New Roman" w:cs="Times New Roman"/>
                <w:b/>
                <w:bCs/>
                <w:color w:val="000000"/>
                <w:sz w:val="16"/>
                <w:szCs w:val="16"/>
                <w:lang w:eastAsia="hu-HU"/>
              </w:rPr>
            </w:pPr>
          </w:p>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ügy/</w:t>
            </w:r>
          </w:p>
          <w:p w:rsidR="00C64275" w:rsidRPr="00C64275" w:rsidRDefault="00C64275" w:rsidP="00C64275">
            <w:pPr>
              <w:jc w:val="center"/>
              <w:rPr>
                <w:rFonts w:ascii="Times New Roman" w:eastAsia="Times New Roman" w:hAnsi="Times New Roman" w:cs="Times New Roman"/>
                <w:b/>
                <w:bCs/>
                <w:color w:val="000000"/>
                <w:sz w:val="16"/>
                <w:szCs w:val="16"/>
                <w:lang w:eastAsia="hu-HU"/>
              </w:rPr>
            </w:pPr>
          </w:p>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w:t>
            </w:r>
          </w:p>
        </w:tc>
        <w:tc>
          <w:tcPr>
            <w:tcW w:w="567" w:type="dxa"/>
            <w:tcBorders>
              <w:top w:val="single" w:sz="18" w:space="0" w:color="000000"/>
              <w:left w:val="single" w:sz="18" w:space="0" w:color="auto"/>
              <w:bottom w:val="single" w:sz="18" w:space="0" w:color="000000"/>
              <w:right w:val="single" w:sz="8" w:space="0" w:color="auto"/>
            </w:tcBorders>
            <w:shd w:val="clear" w:color="auto" w:fill="auto"/>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A</w:t>
            </w:r>
          </w:p>
        </w:tc>
        <w:tc>
          <w:tcPr>
            <w:tcW w:w="567" w:type="dxa"/>
            <w:tcBorders>
              <w:top w:val="single" w:sz="18" w:space="0" w:color="000000"/>
              <w:left w:val="single" w:sz="18" w:space="0" w:color="auto"/>
              <w:bottom w:val="single" w:sz="18" w:space="0" w:color="000000"/>
              <w:right w:val="single" w:sz="8" w:space="0" w:color="auto"/>
            </w:tcBorders>
            <w:shd w:val="clear" w:color="auto" w:fill="auto"/>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B</w:t>
            </w:r>
          </w:p>
        </w:tc>
        <w:tc>
          <w:tcPr>
            <w:tcW w:w="567" w:type="dxa"/>
            <w:tcBorders>
              <w:top w:val="single" w:sz="18" w:space="0" w:color="000000"/>
              <w:left w:val="single" w:sz="18" w:space="0" w:color="auto"/>
              <w:bottom w:val="single" w:sz="18" w:space="0" w:color="000000"/>
              <w:right w:val="single" w:sz="8" w:space="0" w:color="auto"/>
            </w:tcBorders>
            <w:shd w:val="clear" w:color="auto" w:fill="auto"/>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C</w:t>
            </w:r>
          </w:p>
        </w:tc>
        <w:tc>
          <w:tcPr>
            <w:tcW w:w="567" w:type="dxa"/>
            <w:tcBorders>
              <w:top w:val="single" w:sz="18" w:space="0" w:color="000000"/>
              <w:left w:val="single" w:sz="18" w:space="0" w:color="auto"/>
              <w:bottom w:val="single" w:sz="18" w:space="0" w:color="000000"/>
              <w:right w:val="single" w:sz="8" w:space="0" w:color="auto"/>
            </w:tcBorders>
            <w:shd w:val="clear" w:color="auto" w:fill="auto"/>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D</w:t>
            </w:r>
          </w:p>
        </w:tc>
        <w:tc>
          <w:tcPr>
            <w:tcW w:w="567" w:type="dxa"/>
            <w:tcBorders>
              <w:top w:val="single" w:sz="18" w:space="0" w:color="000000"/>
              <w:left w:val="single" w:sz="8" w:space="0" w:color="auto"/>
              <w:bottom w:val="single" w:sz="18" w:space="0" w:color="000000"/>
              <w:right w:val="single" w:sz="18" w:space="0" w:color="auto"/>
            </w:tcBorders>
            <w:shd w:val="clear" w:color="auto" w:fill="auto"/>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E</w:t>
            </w:r>
          </w:p>
        </w:tc>
        <w:tc>
          <w:tcPr>
            <w:tcW w:w="708" w:type="dxa"/>
            <w:tcBorders>
              <w:top w:val="single" w:sz="18" w:space="0" w:color="000000"/>
              <w:left w:val="single" w:sz="18" w:space="0" w:color="auto"/>
              <w:bottom w:val="single" w:sz="18" w:space="0" w:color="000000"/>
              <w:right w:val="single" w:sz="18" w:space="0" w:color="auto"/>
            </w:tcBorders>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F</w:t>
            </w:r>
          </w:p>
        </w:tc>
        <w:tc>
          <w:tcPr>
            <w:tcW w:w="638" w:type="dxa"/>
            <w:tcBorders>
              <w:top w:val="single" w:sz="18" w:space="0" w:color="000000"/>
              <w:left w:val="single" w:sz="18" w:space="0" w:color="auto"/>
              <w:bottom w:val="single" w:sz="18" w:space="0" w:color="000000"/>
              <w:right w:val="single" w:sz="18" w:space="0" w:color="auto"/>
            </w:tcBorders>
            <w:shd w:val="clear" w:color="auto" w:fill="auto"/>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G</w:t>
            </w:r>
          </w:p>
        </w:tc>
        <w:tc>
          <w:tcPr>
            <w:tcW w:w="638" w:type="dxa"/>
            <w:gridSpan w:val="2"/>
            <w:tcBorders>
              <w:top w:val="single" w:sz="18" w:space="0" w:color="000000"/>
              <w:left w:val="single" w:sz="18" w:space="0" w:color="auto"/>
              <w:bottom w:val="single" w:sz="18" w:space="0" w:color="000000"/>
              <w:right w:val="single" w:sz="18" w:space="0" w:color="auto"/>
            </w:tcBorders>
            <w:shd w:val="clear" w:color="auto" w:fill="auto"/>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H</w:t>
            </w:r>
          </w:p>
        </w:tc>
      </w:tr>
      <w:tr w:rsidR="00C64275" w:rsidRPr="00C64275" w:rsidTr="00CB4389">
        <w:trPr>
          <w:trHeight w:val="342"/>
          <w:tblHeader/>
        </w:trPr>
        <w:tc>
          <w:tcPr>
            <w:tcW w:w="763" w:type="dxa"/>
            <w:vMerge/>
            <w:tcBorders>
              <w:top w:val="single" w:sz="8" w:space="0" w:color="000000"/>
              <w:left w:val="single" w:sz="18" w:space="0" w:color="auto"/>
              <w:bottom w:val="single" w:sz="18" w:space="0" w:color="000000"/>
              <w:right w:val="single" w:sz="8" w:space="0" w:color="000000"/>
            </w:tcBorders>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p>
        </w:tc>
        <w:tc>
          <w:tcPr>
            <w:tcW w:w="528" w:type="dxa"/>
            <w:vMerge/>
            <w:tcBorders>
              <w:top w:val="single" w:sz="8" w:space="0" w:color="000000"/>
              <w:left w:val="single" w:sz="8" w:space="0" w:color="000000"/>
              <w:bottom w:val="single" w:sz="18" w:space="0" w:color="000000"/>
              <w:right w:val="single" w:sz="18" w:space="0" w:color="auto"/>
            </w:tcBorders>
          </w:tcPr>
          <w:p w:rsidR="00C64275" w:rsidRPr="00C64275" w:rsidRDefault="00C64275" w:rsidP="00C64275">
            <w:pPr>
              <w:jc w:val="left"/>
              <w:rPr>
                <w:rFonts w:ascii="Times New Roman" w:eastAsia="Times New Roman" w:hAnsi="Times New Roman" w:cs="Times New Roman"/>
                <w:b/>
                <w:bCs/>
                <w:color w:val="000000"/>
                <w:sz w:val="16"/>
                <w:szCs w:val="16"/>
                <w:lang w:eastAsia="hu-HU"/>
              </w:rPr>
            </w:pPr>
          </w:p>
        </w:tc>
        <w:tc>
          <w:tcPr>
            <w:tcW w:w="2268" w:type="dxa"/>
            <w:gridSpan w:val="4"/>
            <w:tcBorders>
              <w:top w:val="single" w:sz="18" w:space="0" w:color="000000"/>
              <w:left w:val="single" w:sz="18" w:space="0" w:color="auto"/>
              <w:bottom w:val="single" w:sz="8" w:space="0" w:color="000000"/>
              <w:right w:val="single" w:sz="8" w:space="0" w:color="auto"/>
            </w:tcBorders>
            <w:shd w:val="clear" w:color="auto" w:fill="auto"/>
            <w:hideMark/>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Megszűntetés</w:t>
            </w:r>
          </w:p>
          <w:p w:rsidR="00C64275" w:rsidRPr="00C64275" w:rsidRDefault="00C64275" w:rsidP="00C64275">
            <w:pPr>
              <w:ind w:right="72"/>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31. § (3)</w:t>
            </w:r>
          </w:p>
        </w:tc>
        <w:tc>
          <w:tcPr>
            <w:tcW w:w="567" w:type="dxa"/>
            <w:vMerge w:val="restart"/>
            <w:tcBorders>
              <w:top w:val="single" w:sz="18" w:space="0" w:color="000000"/>
              <w:left w:val="single" w:sz="8" w:space="0" w:color="auto"/>
              <w:right w:val="single" w:sz="18" w:space="0" w:color="auto"/>
            </w:tcBorders>
            <w:shd w:val="clear" w:color="auto" w:fill="auto"/>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hiány</w:t>
            </w:r>
          </w:p>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pótlás</w:t>
            </w:r>
          </w:p>
          <w:p w:rsidR="00C64275" w:rsidRPr="00C64275" w:rsidRDefault="00C64275" w:rsidP="00C64275">
            <w:pPr>
              <w:jc w:val="center"/>
              <w:rPr>
                <w:rFonts w:ascii="Times New Roman" w:eastAsia="Times New Roman" w:hAnsi="Times New Roman" w:cs="Times New Roman"/>
                <w:b/>
                <w:bCs/>
                <w:color w:val="000000"/>
                <w:sz w:val="16"/>
                <w:szCs w:val="16"/>
                <w:lang w:eastAsia="hu-HU"/>
              </w:rPr>
            </w:pPr>
          </w:p>
        </w:tc>
        <w:tc>
          <w:tcPr>
            <w:tcW w:w="708" w:type="dxa"/>
            <w:tcBorders>
              <w:top w:val="single" w:sz="18" w:space="0" w:color="000000"/>
              <w:left w:val="single" w:sz="18" w:space="0" w:color="auto"/>
              <w:bottom w:val="single" w:sz="8" w:space="0" w:color="000000"/>
              <w:right w:val="single" w:sz="18" w:space="0" w:color="auto"/>
            </w:tcBorders>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Eluta-</w:t>
            </w:r>
          </w:p>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sítás</w:t>
            </w:r>
          </w:p>
        </w:tc>
        <w:tc>
          <w:tcPr>
            <w:tcW w:w="1276" w:type="dxa"/>
            <w:gridSpan w:val="3"/>
            <w:tcBorders>
              <w:top w:val="single" w:sz="18" w:space="0" w:color="000000"/>
              <w:left w:val="single" w:sz="18" w:space="0" w:color="auto"/>
              <w:bottom w:val="single" w:sz="8" w:space="0" w:color="000000"/>
              <w:right w:val="single" w:sz="18" w:space="0" w:color="auto"/>
            </w:tcBorders>
            <w:shd w:val="clear" w:color="auto" w:fill="auto"/>
            <w:hideMark/>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Áttétel</w:t>
            </w:r>
          </w:p>
        </w:tc>
      </w:tr>
      <w:tr w:rsidR="00C64275" w:rsidRPr="00C64275" w:rsidTr="00CB4389">
        <w:trPr>
          <w:trHeight w:val="229"/>
          <w:tblHeader/>
        </w:trPr>
        <w:tc>
          <w:tcPr>
            <w:tcW w:w="763" w:type="dxa"/>
            <w:vMerge/>
            <w:tcBorders>
              <w:top w:val="single" w:sz="8" w:space="0" w:color="000000"/>
              <w:left w:val="single" w:sz="18" w:space="0" w:color="auto"/>
              <w:bottom w:val="single" w:sz="18" w:space="0" w:color="000000"/>
              <w:right w:val="single" w:sz="8" w:space="0" w:color="000000"/>
            </w:tcBorders>
          </w:tcPr>
          <w:p w:rsidR="00C64275" w:rsidRPr="00C64275" w:rsidRDefault="00C64275" w:rsidP="00C64275">
            <w:pPr>
              <w:jc w:val="left"/>
              <w:rPr>
                <w:rFonts w:ascii="Times New Roman" w:eastAsia="Times New Roman" w:hAnsi="Times New Roman" w:cs="Times New Roman"/>
                <w:b/>
                <w:bCs/>
                <w:color w:val="000000"/>
                <w:sz w:val="16"/>
                <w:szCs w:val="16"/>
                <w:lang w:eastAsia="hu-HU"/>
              </w:rPr>
            </w:pPr>
          </w:p>
        </w:tc>
        <w:tc>
          <w:tcPr>
            <w:tcW w:w="528" w:type="dxa"/>
            <w:vMerge/>
            <w:tcBorders>
              <w:top w:val="single" w:sz="8" w:space="0" w:color="000000"/>
              <w:left w:val="single" w:sz="8" w:space="0" w:color="000000"/>
              <w:bottom w:val="single" w:sz="18" w:space="0" w:color="000000"/>
              <w:right w:val="single" w:sz="18" w:space="0" w:color="auto"/>
            </w:tcBorders>
            <w:vAlign w:val="bottom"/>
          </w:tcPr>
          <w:p w:rsidR="00C64275" w:rsidRPr="00C64275" w:rsidRDefault="00C64275" w:rsidP="00C64275">
            <w:pPr>
              <w:jc w:val="left"/>
              <w:rPr>
                <w:rFonts w:ascii="Times New Roman" w:eastAsia="Times New Roman" w:hAnsi="Times New Roman" w:cs="Times New Roman"/>
                <w:b/>
                <w:bCs/>
                <w:color w:val="000000"/>
                <w:sz w:val="16"/>
                <w:szCs w:val="16"/>
                <w:lang w:eastAsia="hu-HU"/>
              </w:rPr>
            </w:pPr>
          </w:p>
        </w:tc>
        <w:tc>
          <w:tcPr>
            <w:tcW w:w="567" w:type="dxa"/>
            <w:tcBorders>
              <w:top w:val="nil"/>
              <w:left w:val="single" w:sz="18" w:space="0" w:color="auto"/>
              <w:bottom w:val="single" w:sz="18" w:space="0" w:color="auto"/>
              <w:right w:val="single" w:sz="8" w:space="0" w:color="000000"/>
            </w:tcBorders>
            <w:shd w:val="clear" w:color="auto" w:fill="auto"/>
            <w:hideMark/>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a)</w:t>
            </w:r>
          </w:p>
        </w:tc>
        <w:tc>
          <w:tcPr>
            <w:tcW w:w="567" w:type="dxa"/>
            <w:tcBorders>
              <w:top w:val="nil"/>
              <w:left w:val="nil"/>
              <w:bottom w:val="single" w:sz="18" w:space="0" w:color="auto"/>
              <w:right w:val="single" w:sz="8" w:space="0" w:color="000000"/>
            </w:tcBorders>
            <w:shd w:val="clear" w:color="auto" w:fill="auto"/>
            <w:hideMark/>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b)</w:t>
            </w:r>
          </w:p>
        </w:tc>
        <w:tc>
          <w:tcPr>
            <w:tcW w:w="567" w:type="dxa"/>
            <w:tcBorders>
              <w:top w:val="nil"/>
              <w:left w:val="nil"/>
              <w:bottom w:val="single" w:sz="18" w:space="0" w:color="auto"/>
              <w:right w:val="single" w:sz="8" w:space="0" w:color="000000"/>
            </w:tcBorders>
            <w:shd w:val="clear" w:color="auto" w:fill="auto"/>
            <w:hideMark/>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c)</w:t>
            </w:r>
          </w:p>
        </w:tc>
        <w:tc>
          <w:tcPr>
            <w:tcW w:w="567" w:type="dxa"/>
            <w:tcBorders>
              <w:top w:val="nil"/>
              <w:left w:val="nil"/>
              <w:bottom w:val="single" w:sz="18" w:space="0" w:color="auto"/>
              <w:right w:val="single" w:sz="8" w:space="0" w:color="auto"/>
            </w:tcBorders>
            <w:shd w:val="clear" w:color="auto" w:fill="auto"/>
            <w:hideMark/>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d)</w:t>
            </w:r>
          </w:p>
        </w:tc>
        <w:tc>
          <w:tcPr>
            <w:tcW w:w="567" w:type="dxa"/>
            <w:vMerge/>
            <w:tcBorders>
              <w:left w:val="single" w:sz="8" w:space="0" w:color="auto"/>
              <w:bottom w:val="single" w:sz="18" w:space="0" w:color="auto"/>
              <w:right w:val="single" w:sz="18" w:space="0" w:color="auto"/>
            </w:tcBorders>
            <w:shd w:val="clear" w:color="auto" w:fill="auto"/>
            <w:hideMark/>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p>
        </w:tc>
        <w:tc>
          <w:tcPr>
            <w:tcW w:w="708" w:type="dxa"/>
            <w:tcBorders>
              <w:top w:val="nil"/>
              <w:left w:val="single" w:sz="18" w:space="0" w:color="auto"/>
              <w:bottom w:val="single" w:sz="18" w:space="0" w:color="auto"/>
              <w:right w:val="single" w:sz="18" w:space="0" w:color="auto"/>
            </w:tcBorders>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32/A. §</w:t>
            </w:r>
          </w:p>
        </w:tc>
        <w:tc>
          <w:tcPr>
            <w:tcW w:w="709" w:type="dxa"/>
            <w:gridSpan w:val="2"/>
            <w:tcBorders>
              <w:top w:val="nil"/>
              <w:left w:val="single" w:sz="18" w:space="0" w:color="auto"/>
              <w:bottom w:val="single" w:sz="18" w:space="0" w:color="auto"/>
              <w:right w:val="single" w:sz="4" w:space="0" w:color="000000"/>
            </w:tcBorders>
            <w:shd w:val="clear" w:color="auto" w:fill="auto"/>
            <w:hideMark/>
          </w:tcPr>
          <w:p w:rsidR="00C64275" w:rsidRPr="00C64275" w:rsidRDefault="004B60A4"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hat.</w:t>
            </w:r>
          </w:p>
        </w:tc>
        <w:tc>
          <w:tcPr>
            <w:tcW w:w="567" w:type="dxa"/>
            <w:tcBorders>
              <w:top w:val="nil"/>
              <w:left w:val="single" w:sz="4" w:space="0" w:color="000000"/>
              <w:bottom w:val="single" w:sz="18" w:space="0" w:color="auto"/>
              <w:right w:val="single" w:sz="18" w:space="0" w:color="auto"/>
            </w:tcBorders>
            <w:shd w:val="clear" w:color="auto" w:fill="auto"/>
            <w:hideMark/>
          </w:tcPr>
          <w:p w:rsidR="00C64275" w:rsidRPr="00C64275" w:rsidRDefault="00C64275" w:rsidP="00C64275">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ill.</w:t>
            </w:r>
          </w:p>
        </w:tc>
      </w:tr>
      <w:tr w:rsidR="00C64275" w:rsidRPr="00C64275" w:rsidTr="00CB4389">
        <w:trPr>
          <w:trHeight w:val="331"/>
        </w:trPr>
        <w:tc>
          <w:tcPr>
            <w:tcW w:w="763" w:type="dxa"/>
            <w:tcBorders>
              <w:top w:val="single" w:sz="4" w:space="0" w:color="auto"/>
              <w:left w:val="single" w:sz="18" w:space="0" w:color="auto"/>
              <w:bottom w:val="single" w:sz="18" w:space="0" w:color="auto"/>
              <w:right w:val="single" w:sz="4" w:space="0" w:color="auto"/>
            </w:tcBorders>
          </w:tcPr>
          <w:p w:rsidR="00C64275" w:rsidRPr="00C64275" w:rsidRDefault="00C64275" w:rsidP="00C64275">
            <w:pPr>
              <w:jc w:val="center"/>
              <w:rPr>
                <w:rFonts w:ascii="Arial" w:eastAsia="Times New Roman" w:hAnsi="Arial" w:cs="Arial"/>
                <w:b/>
                <w:bCs/>
                <w:color w:val="000000"/>
                <w:sz w:val="20"/>
                <w:szCs w:val="20"/>
                <w:lang w:eastAsia="hu-HU"/>
              </w:rPr>
            </w:pPr>
          </w:p>
        </w:tc>
        <w:tc>
          <w:tcPr>
            <w:tcW w:w="528" w:type="dxa"/>
            <w:tcBorders>
              <w:top w:val="single" w:sz="4" w:space="0" w:color="auto"/>
              <w:left w:val="single" w:sz="4" w:space="0" w:color="auto"/>
              <w:bottom w:val="single" w:sz="18" w:space="0" w:color="auto"/>
              <w:right w:val="single" w:sz="18" w:space="0" w:color="auto"/>
            </w:tcBorders>
            <w:vAlign w:val="bottom"/>
          </w:tcPr>
          <w:p w:rsidR="00C64275" w:rsidRPr="00C64275" w:rsidRDefault="00C64275" w:rsidP="00C64275">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317</w:t>
            </w:r>
          </w:p>
        </w:tc>
        <w:tc>
          <w:tcPr>
            <w:tcW w:w="567" w:type="dxa"/>
            <w:tcBorders>
              <w:top w:val="single" w:sz="4" w:space="0" w:color="auto"/>
              <w:left w:val="single" w:sz="18" w:space="0" w:color="auto"/>
              <w:bottom w:val="single" w:sz="18" w:space="0" w:color="auto"/>
              <w:right w:val="single" w:sz="4" w:space="0" w:color="auto"/>
            </w:tcBorders>
            <w:shd w:val="clear" w:color="auto" w:fill="auto"/>
            <w:vAlign w:val="bottom"/>
          </w:tcPr>
          <w:p w:rsidR="00C64275" w:rsidRPr="00C64275" w:rsidRDefault="00C64275" w:rsidP="00C64275">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15</w:t>
            </w:r>
          </w:p>
        </w:tc>
        <w:tc>
          <w:tcPr>
            <w:tcW w:w="567" w:type="dxa"/>
            <w:tcBorders>
              <w:top w:val="single" w:sz="4" w:space="0" w:color="auto"/>
              <w:left w:val="single" w:sz="4" w:space="0" w:color="auto"/>
              <w:bottom w:val="single" w:sz="18" w:space="0" w:color="auto"/>
              <w:right w:val="single" w:sz="4" w:space="0" w:color="auto"/>
            </w:tcBorders>
            <w:shd w:val="clear" w:color="auto" w:fill="auto"/>
            <w:vAlign w:val="bottom"/>
          </w:tcPr>
          <w:p w:rsidR="00C64275" w:rsidRPr="00C64275" w:rsidRDefault="00C64275" w:rsidP="00C64275">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15</w:t>
            </w:r>
          </w:p>
        </w:tc>
        <w:tc>
          <w:tcPr>
            <w:tcW w:w="567" w:type="dxa"/>
            <w:tcBorders>
              <w:top w:val="single" w:sz="4" w:space="0" w:color="auto"/>
              <w:left w:val="single" w:sz="4" w:space="0" w:color="auto"/>
              <w:bottom w:val="single" w:sz="18" w:space="0" w:color="auto"/>
              <w:right w:val="single" w:sz="4" w:space="0" w:color="auto"/>
            </w:tcBorders>
            <w:shd w:val="clear" w:color="auto" w:fill="auto"/>
            <w:vAlign w:val="bottom"/>
          </w:tcPr>
          <w:p w:rsidR="00C64275" w:rsidRPr="00C64275" w:rsidRDefault="00C64275" w:rsidP="00C64275">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52</w:t>
            </w:r>
          </w:p>
        </w:tc>
        <w:tc>
          <w:tcPr>
            <w:tcW w:w="567" w:type="dxa"/>
            <w:tcBorders>
              <w:top w:val="single" w:sz="4" w:space="0" w:color="auto"/>
              <w:left w:val="single" w:sz="4" w:space="0" w:color="auto"/>
              <w:bottom w:val="single" w:sz="18" w:space="0" w:color="auto"/>
              <w:right w:val="single" w:sz="4" w:space="0" w:color="auto"/>
            </w:tcBorders>
            <w:shd w:val="clear" w:color="auto" w:fill="auto"/>
            <w:vAlign w:val="bottom"/>
          </w:tcPr>
          <w:p w:rsidR="00C64275" w:rsidRPr="00C64275" w:rsidRDefault="00C64275" w:rsidP="00C64275">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51</w:t>
            </w:r>
          </w:p>
        </w:tc>
        <w:tc>
          <w:tcPr>
            <w:tcW w:w="567" w:type="dxa"/>
            <w:tcBorders>
              <w:top w:val="single" w:sz="4" w:space="0" w:color="auto"/>
              <w:left w:val="single" w:sz="4" w:space="0" w:color="auto"/>
              <w:bottom w:val="single" w:sz="18" w:space="0" w:color="auto"/>
              <w:right w:val="single" w:sz="18" w:space="0" w:color="auto"/>
            </w:tcBorders>
            <w:shd w:val="clear" w:color="auto" w:fill="auto"/>
            <w:vAlign w:val="bottom"/>
          </w:tcPr>
          <w:p w:rsidR="00C64275" w:rsidRPr="00C64275" w:rsidRDefault="00C64275" w:rsidP="00C64275">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5</w:t>
            </w:r>
          </w:p>
        </w:tc>
        <w:tc>
          <w:tcPr>
            <w:tcW w:w="708" w:type="dxa"/>
            <w:tcBorders>
              <w:top w:val="single" w:sz="4" w:space="0" w:color="auto"/>
              <w:left w:val="single" w:sz="18" w:space="0" w:color="auto"/>
              <w:bottom w:val="single" w:sz="18" w:space="0" w:color="auto"/>
              <w:right w:val="single" w:sz="18" w:space="0" w:color="auto"/>
            </w:tcBorders>
            <w:vAlign w:val="bottom"/>
          </w:tcPr>
          <w:p w:rsidR="00C64275" w:rsidRPr="00C64275" w:rsidRDefault="00C64275" w:rsidP="00C64275">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5</w:t>
            </w:r>
          </w:p>
        </w:tc>
        <w:tc>
          <w:tcPr>
            <w:tcW w:w="709" w:type="dxa"/>
            <w:gridSpan w:val="2"/>
            <w:tcBorders>
              <w:top w:val="single" w:sz="4" w:space="0" w:color="auto"/>
              <w:left w:val="single" w:sz="18" w:space="0" w:color="auto"/>
              <w:bottom w:val="single" w:sz="18" w:space="0" w:color="auto"/>
              <w:right w:val="single" w:sz="4" w:space="0" w:color="auto"/>
            </w:tcBorders>
            <w:shd w:val="clear" w:color="auto" w:fill="auto"/>
            <w:vAlign w:val="bottom"/>
          </w:tcPr>
          <w:p w:rsidR="00C64275" w:rsidRPr="00C64275" w:rsidRDefault="00C64275" w:rsidP="00C64275">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6</w:t>
            </w:r>
          </w:p>
        </w:tc>
        <w:tc>
          <w:tcPr>
            <w:tcW w:w="567" w:type="dxa"/>
            <w:tcBorders>
              <w:top w:val="single" w:sz="4" w:space="0" w:color="auto"/>
              <w:left w:val="single" w:sz="4" w:space="0" w:color="auto"/>
              <w:bottom w:val="single" w:sz="18" w:space="0" w:color="auto"/>
              <w:right w:val="single" w:sz="18" w:space="0" w:color="auto"/>
            </w:tcBorders>
            <w:shd w:val="clear" w:color="auto" w:fill="auto"/>
            <w:vAlign w:val="bottom"/>
          </w:tcPr>
          <w:p w:rsidR="00C64275" w:rsidRPr="00C64275" w:rsidRDefault="00C64275" w:rsidP="00C64275">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4</w:t>
            </w:r>
          </w:p>
        </w:tc>
      </w:tr>
      <w:tr w:rsidR="00C64275" w:rsidRPr="00C64275" w:rsidTr="004B60A4">
        <w:trPr>
          <w:trHeight w:val="311"/>
        </w:trPr>
        <w:tc>
          <w:tcPr>
            <w:tcW w:w="763" w:type="dxa"/>
            <w:tcBorders>
              <w:top w:val="single" w:sz="18" w:space="0" w:color="auto"/>
              <w:left w:val="single" w:sz="18" w:space="0" w:color="auto"/>
              <w:bottom w:val="single" w:sz="4" w:space="0" w:color="auto"/>
              <w:right w:val="single" w:sz="4" w:space="0" w:color="auto"/>
            </w:tcBorders>
          </w:tcPr>
          <w:p w:rsidR="00C64275" w:rsidRPr="00C64275" w:rsidRDefault="00C64275" w:rsidP="004B60A4">
            <w:pPr>
              <w:jc w:val="center"/>
              <w:rPr>
                <w:rFonts w:ascii="Arial" w:eastAsia="Times New Roman" w:hAnsi="Arial" w:cs="Arial"/>
                <w:b/>
                <w:bCs/>
                <w:color w:val="000000"/>
                <w:sz w:val="20"/>
                <w:szCs w:val="20"/>
                <w:lang w:eastAsia="hu-HU"/>
              </w:rPr>
            </w:pPr>
            <w:r w:rsidRPr="00C64275">
              <w:rPr>
                <w:rFonts w:ascii="Arial" w:eastAsia="Times New Roman" w:hAnsi="Arial" w:cs="Arial"/>
                <w:b/>
                <w:bCs/>
                <w:color w:val="000000"/>
                <w:sz w:val="20"/>
                <w:szCs w:val="20"/>
                <w:lang w:eastAsia="hu-HU"/>
              </w:rPr>
              <w:t>1)</w:t>
            </w:r>
          </w:p>
        </w:tc>
        <w:tc>
          <w:tcPr>
            <w:tcW w:w="528" w:type="dxa"/>
            <w:tcBorders>
              <w:top w:val="single" w:sz="18" w:space="0" w:color="auto"/>
              <w:left w:val="single" w:sz="4" w:space="0" w:color="auto"/>
              <w:bottom w:val="single" w:sz="4" w:space="0" w:color="auto"/>
              <w:right w:val="single" w:sz="18" w:space="0" w:color="auto"/>
            </w:tcBorders>
          </w:tcPr>
          <w:p w:rsidR="00C64275" w:rsidRPr="00C64275" w:rsidRDefault="00C64275" w:rsidP="004B60A4">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w:t>
            </w:r>
          </w:p>
        </w:tc>
        <w:tc>
          <w:tcPr>
            <w:tcW w:w="567" w:type="dxa"/>
            <w:tcBorders>
              <w:top w:val="single" w:sz="18" w:space="0" w:color="auto"/>
              <w:left w:val="single" w:sz="18" w:space="0" w:color="auto"/>
              <w:bottom w:val="single" w:sz="4" w:space="0" w:color="auto"/>
              <w:right w:val="single" w:sz="4"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4,73</w:t>
            </w:r>
          </w:p>
        </w:tc>
        <w:tc>
          <w:tcPr>
            <w:tcW w:w="567" w:type="dxa"/>
            <w:tcBorders>
              <w:top w:val="single" w:sz="18" w:space="0" w:color="auto"/>
              <w:left w:val="single" w:sz="4" w:space="0" w:color="auto"/>
              <w:bottom w:val="single" w:sz="4" w:space="0" w:color="auto"/>
              <w:right w:val="single" w:sz="4"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4,73</w:t>
            </w:r>
          </w:p>
        </w:tc>
        <w:tc>
          <w:tcPr>
            <w:tcW w:w="567" w:type="dxa"/>
            <w:tcBorders>
              <w:top w:val="single" w:sz="18" w:space="0" w:color="auto"/>
              <w:left w:val="single" w:sz="4" w:space="0" w:color="auto"/>
              <w:bottom w:val="single" w:sz="4" w:space="0" w:color="auto"/>
              <w:right w:val="single" w:sz="4"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16,40</w:t>
            </w:r>
          </w:p>
        </w:tc>
        <w:tc>
          <w:tcPr>
            <w:tcW w:w="567" w:type="dxa"/>
            <w:tcBorders>
              <w:top w:val="single" w:sz="18" w:space="0" w:color="auto"/>
              <w:left w:val="single" w:sz="4" w:space="0" w:color="auto"/>
              <w:bottom w:val="single" w:sz="4" w:space="0" w:color="auto"/>
              <w:right w:val="single" w:sz="4" w:space="0" w:color="auto"/>
            </w:tcBorders>
            <w:shd w:val="clear" w:color="auto" w:fill="auto"/>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16,09</w:t>
            </w:r>
          </w:p>
        </w:tc>
        <w:tc>
          <w:tcPr>
            <w:tcW w:w="567" w:type="dxa"/>
            <w:tcBorders>
              <w:top w:val="single" w:sz="18" w:space="0" w:color="auto"/>
              <w:left w:val="single" w:sz="4" w:space="0" w:color="auto"/>
              <w:bottom w:val="single" w:sz="4" w:space="0" w:color="auto"/>
              <w:right w:val="single" w:sz="18" w:space="0" w:color="auto"/>
            </w:tcBorders>
            <w:shd w:val="clear" w:color="auto" w:fill="auto"/>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708" w:type="dxa"/>
            <w:tcBorders>
              <w:top w:val="single" w:sz="18" w:space="0" w:color="auto"/>
              <w:left w:val="single" w:sz="18" w:space="0" w:color="auto"/>
              <w:bottom w:val="single" w:sz="4" w:space="0" w:color="auto"/>
              <w:right w:val="single" w:sz="18" w:space="0" w:color="auto"/>
            </w:tcBorders>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709" w:type="dxa"/>
            <w:gridSpan w:val="2"/>
            <w:tcBorders>
              <w:top w:val="single" w:sz="18" w:space="0" w:color="auto"/>
              <w:left w:val="single" w:sz="18" w:space="0" w:color="auto"/>
              <w:bottom w:val="single" w:sz="4" w:space="0" w:color="auto"/>
              <w:right w:val="single" w:sz="4"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1,89</w:t>
            </w:r>
          </w:p>
        </w:tc>
        <w:tc>
          <w:tcPr>
            <w:tcW w:w="567" w:type="dxa"/>
            <w:tcBorders>
              <w:top w:val="single" w:sz="18" w:space="0" w:color="auto"/>
              <w:left w:val="single" w:sz="4" w:space="0" w:color="auto"/>
              <w:bottom w:val="single" w:sz="4" w:space="0" w:color="auto"/>
              <w:right w:val="single" w:sz="18"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1,26</w:t>
            </w:r>
          </w:p>
        </w:tc>
      </w:tr>
      <w:tr w:rsidR="00C64275" w:rsidRPr="00C64275" w:rsidTr="004B60A4">
        <w:trPr>
          <w:trHeight w:val="294"/>
        </w:trPr>
        <w:tc>
          <w:tcPr>
            <w:tcW w:w="763" w:type="dxa"/>
            <w:tcBorders>
              <w:top w:val="single" w:sz="4" w:space="0" w:color="auto"/>
              <w:left w:val="single" w:sz="18" w:space="0" w:color="auto"/>
              <w:bottom w:val="single" w:sz="4" w:space="0" w:color="auto"/>
              <w:right w:val="single" w:sz="4" w:space="0" w:color="auto"/>
            </w:tcBorders>
          </w:tcPr>
          <w:p w:rsidR="00C64275" w:rsidRPr="00C64275" w:rsidRDefault="00C64275" w:rsidP="004B60A4">
            <w:pPr>
              <w:jc w:val="center"/>
              <w:rPr>
                <w:rFonts w:ascii="Arial" w:eastAsia="Times New Roman" w:hAnsi="Arial" w:cs="Arial"/>
                <w:b/>
                <w:bCs/>
                <w:color w:val="000000"/>
                <w:sz w:val="20"/>
                <w:szCs w:val="20"/>
                <w:lang w:eastAsia="hu-HU"/>
              </w:rPr>
            </w:pPr>
            <w:r w:rsidRPr="00C64275">
              <w:rPr>
                <w:rFonts w:ascii="Arial" w:eastAsia="Times New Roman" w:hAnsi="Arial" w:cs="Arial"/>
                <w:b/>
                <w:bCs/>
                <w:color w:val="000000"/>
                <w:sz w:val="20"/>
                <w:szCs w:val="20"/>
                <w:lang w:eastAsia="hu-HU"/>
              </w:rPr>
              <w:t>2)</w:t>
            </w:r>
          </w:p>
        </w:tc>
        <w:tc>
          <w:tcPr>
            <w:tcW w:w="528" w:type="dxa"/>
            <w:tcBorders>
              <w:top w:val="single" w:sz="4" w:space="0" w:color="auto"/>
              <w:left w:val="single" w:sz="4" w:space="0" w:color="auto"/>
              <w:bottom w:val="single" w:sz="4" w:space="0" w:color="auto"/>
              <w:right w:val="single" w:sz="18" w:space="0" w:color="auto"/>
            </w:tcBorders>
          </w:tcPr>
          <w:p w:rsidR="00C64275" w:rsidRPr="00C64275" w:rsidRDefault="00C64275" w:rsidP="004B60A4">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w:t>
            </w:r>
          </w:p>
        </w:tc>
        <w:tc>
          <w:tcPr>
            <w:tcW w:w="1134" w:type="dxa"/>
            <w:gridSpan w:val="2"/>
            <w:tcBorders>
              <w:top w:val="single" w:sz="4" w:space="0" w:color="auto"/>
              <w:left w:val="single" w:sz="18" w:space="0" w:color="auto"/>
              <w:bottom w:val="single" w:sz="4" w:space="0" w:color="auto"/>
              <w:right w:val="single" w:sz="8"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9,46</w:t>
            </w:r>
          </w:p>
        </w:tc>
        <w:tc>
          <w:tcPr>
            <w:tcW w:w="1134" w:type="dxa"/>
            <w:gridSpan w:val="2"/>
            <w:tcBorders>
              <w:top w:val="single" w:sz="4" w:space="0" w:color="auto"/>
              <w:left w:val="single" w:sz="8" w:space="0" w:color="auto"/>
              <w:bottom w:val="single" w:sz="4" w:space="0" w:color="auto"/>
              <w:right w:val="single" w:sz="4" w:space="0" w:color="auto"/>
            </w:tcBorders>
            <w:shd w:val="clear" w:color="auto" w:fill="auto"/>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32,49</w:t>
            </w:r>
          </w:p>
        </w:tc>
        <w:tc>
          <w:tcPr>
            <w:tcW w:w="567" w:type="dxa"/>
            <w:tcBorders>
              <w:top w:val="single" w:sz="4" w:space="0" w:color="auto"/>
              <w:left w:val="single" w:sz="4" w:space="0" w:color="auto"/>
              <w:bottom w:val="single" w:sz="4" w:space="0" w:color="auto"/>
              <w:right w:val="single" w:sz="18" w:space="0" w:color="auto"/>
            </w:tcBorders>
            <w:shd w:val="clear" w:color="auto" w:fill="auto"/>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708" w:type="dxa"/>
            <w:tcBorders>
              <w:top w:val="single" w:sz="4" w:space="0" w:color="auto"/>
              <w:left w:val="single" w:sz="18" w:space="0" w:color="auto"/>
              <w:bottom w:val="single" w:sz="4" w:space="0" w:color="auto"/>
              <w:right w:val="single" w:sz="18" w:space="0" w:color="auto"/>
            </w:tcBorders>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3,15</w:t>
            </w:r>
          </w:p>
        </w:tc>
      </w:tr>
      <w:tr w:rsidR="00C64275" w:rsidRPr="00C64275" w:rsidTr="004B60A4">
        <w:trPr>
          <w:trHeight w:val="256"/>
        </w:trPr>
        <w:tc>
          <w:tcPr>
            <w:tcW w:w="763" w:type="dxa"/>
            <w:tcBorders>
              <w:top w:val="single" w:sz="4" w:space="0" w:color="auto"/>
              <w:left w:val="single" w:sz="18" w:space="0" w:color="auto"/>
              <w:bottom w:val="single" w:sz="4" w:space="0" w:color="auto"/>
              <w:right w:val="single" w:sz="4" w:space="0" w:color="auto"/>
            </w:tcBorders>
          </w:tcPr>
          <w:p w:rsidR="00C64275" w:rsidRPr="00C64275" w:rsidRDefault="00C64275" w:rsidP="004B60A4">
            <w:pPr>
              <w:jc w:val="center"/>
              <w:rPr>
                <w:rFonts w:ascii="Arial" w:eastAsia="Times New Roman" w:hAnsi="Arial" w:cs="Arial"/>
                <w:b/>
                <w:bCs/>
                <w:color w:val="000000"/>
                <w:sz w:val="20"/>
                <w:szCs w:val="20"/>
                <w:lang w:eastAsia="hu-HU"/>
              </w:rPr>
            </w:pPr>
            <w:r w:rsidRPr="00C64275">
              <w:rPr>
                <w:rFonts w:ascii="Arial" w:eastAsia="Times New Roman" w:hAnsi="Arial" w:cs="Arial"/>
                <w:b/>
                <w:bCs/>
                <w:color w:val="000000"/>
                <w:sz w:val="20"/>
                <w:szCs w:val="20"/>
                <w:lang w:eastAsia="hu-HU"/>
              </w:rPr>
              <w:t>3)</w:t>
            </w:r>
          </w:p>
        </w:tc>
        <w:tc>
          <w:tcPr>
            <w:tcW w:w="528" w:type="dxa"/>
            <w:tcBorders>
              <w:top w:val="single" w:sz="4" w:space="0" w:color="auto"/>
              <w:left w:val="single" w:sz="4" w:space="0" w:color="auto"/>
              <w:bottom w:val="single" w:sz="4" w:space="0" w:color="auto"/>
              <w:right w:val="single" w:sz="18" w:space="0" w:color="auto"/>
            </w:tcBorders>
          </w:tcPr>
          <w:p w:rsidR="00C64275" w:rsidRPr="00C64275" w:rsidRDefault="00C64275" w:rsidP="004B60A4">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w:t>
            </w:r>
          </w:p>
        </w:tc>
        <w:tc>
          <w:tcPr>
            <w:tcW w:w="2268" w:type="dxa"/>
            <w:gridSpan w:val="4"/>
            <w:tcBorders>
              <w:top w:val="single" w:sz="4" w:space="0" w:color="auto"/>
              <w:left w:val="single" w:sz="18" w:space="0" w:color="auto"/>
              <w:bottom w:val="single" w:sz="4" w:space="0" w:color="auto"/>
              <w:right w:val="single" w:sz="4"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41,95</w:t>
            </w:r>
          </w:p>
        </w:tc>
        <w:tc>
          <w:tcPr>
            <w:tcW w:w="567" w:type="dxa"/>
            <w:tcBorders>
              <w:top w:val="single" w:sz="4" w:space="0" w:color="auto"/>
              <w:left w:val="single" w:sz="4" w:space="0" w:color="auto"/>
              <w:bottom w:val="single" w:sz="4" w:space="0" w:color="auto"/>
              <w:right w:val="single" w:sz="18" w:space="0" w:color="auto"/>
            </w:tcBorders>
            <w:shd w:val="clear" w:color="auto" w:fill="auto"/>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708" w:type="dxa"/>
            <w:tcBorders>
              <w:top w:val="single" w:sz="4" w:space="0" w:color="auto"/>
              <w:left w:val="single" w:sz="18" w:space="0" w:color="auto"/>
              <w:bottom w:val="single" w:sz="4" w:space="0" w:color="auto"/>
              <w:right w:val="single" w:sz="18" w:space="0" w:color="auto"/>
            </w:tcBorders>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3,15</w:t>
            </w:r>
          </w:p>
        </w:tc>
      </w:tr>
      <w:tr w:rsidR="00C64275" w:rsidRPr="00C64275" w:rsidTr="004B60A4">
        <w:trPr>
          <w:trHeight w:val="260"/>
        </w:trPr>
        <w:tc>
          <w:tcPr>
            <w:tcW w:w="763" w:type="dxa"/>
            <w:tcBorders>
              <w:top w:val="single" w:sz="4" w:space="0" w:color="auto"/>
              <w:left w:val="single" w:sz="18" w:space="0" w:color="auto"/>
              <w:bottom w:val="single" w:sz="4" w:space="0" w:color="auto"/>
              <w:right w:val="single" w:sz="4" w:space="0" w:color="auto"/>
            </w:tcBorders>
          </w:tcPr>
          <w:p w:rsidR="00C64275" w:rsidRPr="00C64275" w:rsidRDefault="00C64275" w:rsidP="004B60A4">
            <w:pPr>
              <w:jc w:val="center"/>
              <w:rPr>
                <w:rFonts w:ascii="Arial" w:eastAsia="Times New Roman" w:hAnsi="Arial" w:cs="Arial"/>
                <w:b/>
                <w:bCs/>
                <w:color w:val="000000"/>
                <w:sz w:val="20"/>
                <w:szCs w:val="20"/>
                <w:lang w:eastAsia="hu-HU"/>
              </w:rPr>
            </w:pPr>
            <w:r w:rsidRPr="00C64275">
              <w:rPr>
                <w:rFonts w:ascii="Arial" w:eastAsia="Times New Roman" w:hAnsi="Arial" w:cs="Arial"/>
                <w:b/>
                <w:bCs/>
                <w:color w:val="000000"/>
                <w:sz w:val="20"/>
                <w:szCs w:val="20"/>
                <w:lang w:eastAsia="hu-HU"/>
              </w:rPr>
              <w:t>4)</w:t>
            </w:r>
          </w:p>
        </w:tc>
        <w:tc>
          <w:tcPr>
            <w:tcW w:w="528" w:type="dxa"/>
            <w:tcBorders>
              <w:top w:val="single" w:sz="4" w:space="0" w:color="auto"/>
              <w:left w:val="single" w:sz="4" w:space="0" w:color="auto"/>
              <w:bottom w:val="single" w:sz="4" w:space="0" w:color="auto"/>
              <w:right w:val="single" w:sz="18" w:space="0" w:color="auto"/>
            </w:tcBorders>
          </w:tcPr>
          <w:p w:rsidR="00C64275" w:rsidRPr="00C64275" w:rsidRDefault="00C64275" w:rsidP="004B60A4">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w:t>
            </w:r>
          </w:p>
        </w:tc>
        <w:tc>
          <w:tcPr>
            <w:tcW w:w="1134" w:type="dxa"/>
            <w:gridSpan w:val="2"/>
            <w:tcBorders>
              <w:top w:val="single" w:sz="4" w:space="0" w:color="auto"/>
              <w:left w:val="single" w:sz="18" w:space="0" w:color="auto"/>
              <w:bottom w:val="single" w:sz="4" w:space="0" w:color="auto"/>
              <w:right w:val="single" w:sz="8"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9,46</w:t>
            </w:r>
          </w:p>
        </w:tc>
        <w:tc>
          <w:tcPr>
            <w:tcW w:w="1701" w:type="dxa"/>
            <w:gridSpan w:val="3"/>
            <w:tcBorders>
              <w:top w:val="single" w:sz="4" w:space="0" w:color="auto"/>
              <w:left w:val="single" w:sz="8" w:space="0" w:color="auto"/>
              <w:bottom w:val="single" w:sz="4" w:space="0" w:color="auto"/>
              <w:right w:val="single" w:sz="18" w:space="0" w:color="auto"/>
            </w:tcBorders>
            <w:shd w:val="clear" w:color="auto" w:fill="auto"/>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34,07</w:t>
            </w:r>
          </w:p>
        </w:tc>
        <w:tc>
          <w:tcPr>
            <w:tcW w:w="708" w:type="dxa"/>
            <w:tcBorders>
              <w:top w:val="single" w:sz="4" w:space="0" w:color="auto"/>
              <w:left w:val="single" w:sz="18" w:space="0" w:color="auto"/>
              <w:bottom w:val="single" w:sz="4" w:space="0" w:color="auto"/>
              <w:right w:val="single" w:sz="18" w:space="0" w:color="auto"/>
            </w:tcBorders>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3,15</w:t>
            </w:r>
          </w:p>
        </w:tc>
      </w:tr>
      <w:tr w:rsidR="00C64275" w:rsidRPr="00C64275" w:rsidTr="004B60A4">
        <w:trPr>
          <w:trHeight w:val="264"/>
        </w:trPr>
        <w:tc>
          <w:tcPr>
            <w:tcW w:w="763" w:type="dxa"/>
            <w:tcBorders>
              <w:top w:val="single" w:sz="4" w:space="0" w:color="auto"/>
              <w:left w:val="single" w:sz="18" w:space="0" w:color="auto"/>
              <w:bottom w:val="single" w:sz="4" w:space="0" w:color="auto"/>
              <w:right w:val="single" w:sz="4" w:space="0" w:color="auto"/>
            </w:tcBorders>
          </w:tcPr>
          <w:p w:rsidR="00C64275" w:rsidRPr="00C64275" w:rsidRDefault="00C64275" w:rsidP="004B60A4">
            <w:pPr>
              <w:jc w:val="center"/>
              <w:rPr>
                <w:rFonts w:ascii="Arial" w:eastAsia="Times New Roman" w:hAnsi="Arial" w:cs="Arial"/>
                <w:b/>
                <w:bCs/>
                <w:color w:val="000000"/>
                <w:sz w:val="20"/>
                <w:szCs w:val="20"/>
                <w:lang w:eastAsia="hu-HU"/>
              </w:rPr>
            </w:pPr>
            <w:r w:rsidRPr="00C64275">
              <w:rPr>
                <w:rFonts w:ascii="Arial" w:eastAsia="Times New Roman" w:hAnsi="Arial" w:cs="Arial"/>
                <w:b/>
                <w:bCs/>
                <w:color w:val="000000"/>
                <w:sz w:val="20"/>
                <w:szCs w:val="20"/>
                <w:lang w:eastAsia="hu-HU"/>
              </w:rPr>
              <w:t>5)</w:t>
            </w:r>
          </w:p>
        </w:tc>
        <w:tc>
          <w:tcPr>
            <w:tcW w:w="528" w:type="dxa"/>
            <w:tcBorders>
              <w:top w:val="single" w:sz="4" w:space="0" w:color="auto"/>
              <w:left w:val="single" w:sz="4" w:space="0" w:color="auto"/>
              <w:bottom w:val="single" w:sz="4" w:space="0" w:color="auto"/>
              <w:right w:val="single" w:sz="18" w:space="0" w:color="auto"/>
            </w:tcBorders>
          </w:tcPr>
          <w:p w:rsidR="00C64275" w:rsidRPr="00C64275" w:rsidRDefault="00C64275" w:rsidP="004B60A4">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w:t>
            </w:r>
          </w:p>
        </w:tc>
        <w:tc>
          <w:tcPr>
            <w:tcW w:w="2835" w:type="dxa"/>
            <w:gridSpan w:val="5"/>
            <w:tcBorders>
              <w:top w:val="single" w:sz="4" w:space="0" w:color="auto"/>
              <w:left w:val="single" w:sz="18" w:space="0" w:color="auto"/>
              <w:bottom w:val="single" w:sz="4" w:space="0" w:color="auto"/>
              <w:right w:val="single" w:sz="18"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43,53</w:t>
            </w:r>
          </w:p>
        </w:tc>
        <w:tc>
          <w:tcPr>
            <w:tcW w:w="708" w:type="dxa"/>
            <w:tcBorders>
              <w:top w:val="single" w:sz="4" w:space="0" w:color="auto"/>
              <w:left w:val="single" w:sz="18" w:space="0" w:color="auto"/>
              <w:bottom w:val="single" w:sz="4" w:space="0" w:color="auto"/>
              <w:right w:val="single" w:sz="18" w:space="0" w:color="auto"/>
            </w:tcBorders>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1,58</w:t>
            </w:r>
          </w:p>
        </w:tc>
        <w:tc>
          <w:tcPr>
            <w:tcW w:w="1276" w:type="dxa"/>
            <w:gridSpan w:val="3"/>
            <w:tcBorders>
              <w:top w:val="single" w:sz="4" w:space="0" w:color="auto"/>
              <w:left w:val="single" w:sz="18" w:space="0" w:color="auto"/>
              <w:bottom w:val="single" w:sz="4" w:space="0" w:color="auto"/>
              <w:right w:val="single" w:sz="18"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3,15</w:t>
            </w:r>
          </w:p>
        </w:tc>
      </w:tr>
      <w:tr w:rsidR="00C64275" w:rsidRPr="00C64275" w:rsidTr="004B60A4">
        <w:trPr>
          <w:trHeight w:val="254"/>
        </w:trPr>
        <w:tc>
          <w:tcPr>
            <w:tcW w:w="763" w:type="dxa"/>
            <w:tcBorders>
              <w:top w:val="single" w:sz="4" w:space="0" w:color="auto"/>
              <w:left w:val="single" w:sz="18" w:space="0" w:color="auto"/>
              <w:bottom w:val="single" w:sz="18" w:space="0" w:color="auto"/>
              <w:right w:val="single" w:sz="4" w:space="0" w:color="auto"/>
            </w:tcBorders>
          </w:tcPr>
          <w:p w:rsidR="00C64275" w:rsidRPr="00C64275" w:rsidRDefault="00C64275" w:rsidP="004B60A4">
            <w:pPr>
              <w:jc w:val="center"/>
              <w:rPr>
                <w:rFonts w:ascii="Arial" w:eastAsia="Times New Roman" w:hAnsi="Arial" w:cs="Arial"/>
                <w:b/>
                <w:bCs/>
                <w:color w:val="000000"/>
                <w:sz w:val="20"/>
                <w:szCs w:val="20"/>
                <w:lang w:eastAsia="hu-HU"/>
              </w:rPr>
            </w:pPr>
            <w:r>
              <w:rPr>
                <w:rFonts w:ascii="Arial" w:eastAsia="Times New Roman" w:hAnsi="Arial" w:cs="Arial"/>
                <w:b/>
                <w:bCs/>
                <w:color w:val="000000"/>
                <w:sz w:val="20"/>
                <w:szCs w:val="20"/>
                <w:lang w:eastAsia="hu-HU"/>
              </w:rPr>
              <w:t>6</w:t>
            </w:r>
            <w:r w:rsidRPr="00C64275">
              <w:rPr>
                <w:rFonts w:ascii="Arial" w:eastAsia="Times New Roman" w:hAnsi="Arial" w:cs="Arial"/>
                <w:b/>
                <w:bCs/>
                <w:color w:val="000000"/>
                <w:sz w:val="20"/>
                <w:szCs w:val="20"/>
                <w:lang w:eastAsia="hu-HU"/>
              </w:rPr>
              <w:t>)</w:t>
            </w:r>
          </w:p>
        </w:tc>
        <w:tc>
          <w:tcPr>
            <w:tcW w:w="528" w:type="dxa"/>
            <w:tcBorders>
              <w:top w:val="single" w:sz="4" w:space="0" w:color="auto"/>
              <w:left w:val="single" w:sz="4" w:space="0" w:color="auto"/>
              <w:bottom w:val="single" w:sz="18" w:space="0" w:color="auto"/>
              <w:right w:val="single" w:sz="18" w:space="0" w:color="auto"/>
            </w:tcBorders>
          </w:tcPr>
          <w:p w:rsidR="00C64275" w:rsidRPr="00C64275" w:rsidRDefault="00C64275" w:rsidP="004B60A4">
            <w:pPr>
              <w:jc w:val="center"/>
              <w:rPr>
                <w:rFonts w:ascii="Times New Roman" w:eastAsia="Times New Roman" w:hAnsi="Times New Roman" w:cs="Times New Roman"/>
                <w:b/>
                <w:bCs/>
                <w:color w:val="000000"/>
                <w:lang w:eastAsia="hu-HU"/>
              </w:rPr>
            </w:pPr>
            <w:r w:rsidRPr="00C64275">
              <w:rPr>
                <w:rFonts w:ascii="Times New Roman" w:eastAsia="Times New Roman" w:hAnsi="Times New Roman" w:cs="Times New Roman"/>
                <w:b/>
                <w:bCs/>
                <w:color w:val="000000"/>
                <w:lang w:eastAsia="hu-HU"/>
              </w:rPr>
              <w:t>%</w:t>
            </w:r>
          </w:p>
        </w:tc>
        <w:tc>
          <w:tcPr>
            <w:tcW w:w="3543" w:type="dxa"/>
            <w:gridSpan w:val="6"/>
            <w:tcBorders>
              <w:top w:val="single" w:sz="4" w:space="0" w:color="auto"/>
              <w:left w:val="single" w:sz="18" w:space="0" w:color="auto"/>
              <w:bottom w:val="single" w:sz="18" w:space="0" w:color="auto"/>
              <w:right w:val="single" w:sz="18" w:space="0" w:color="auto"/>
            </w:tcBorders>
            <w:shd w:val="clear" w:color="auto" w:fill="auto"/>
          </w:tcPr>
          <w:p w:rsidR="00C64275" w:rsidRPr="00C64275" w:rsidRDefault="00830E45" w:rsidP="004B60A4">
            <w:pPr>
              <w:jc w:val="center"/>
              <w:rPr>
                <w:rFonts w:ascii="Times New Roman" w:eastAsia="Times New Roman" w:hAnsi="Times New Roman" w:cs="Times New Roman"/>
                <w:b/>
                <w:bCs/>
                <w:color w:val="000000"/>
                <w:sz w:val="16"/>
                <w:szCs w:val="16"/>
                <w:lang w:eastAsia="hu-HU"/>
              </w:rPr>
            </w:pPr>
            <w:r>
              <w:rPr>
                <w:rFonts w:ascii="Times New Roman" w:eastAsia="Times New Roman" w:hAnsi="Times New Roman" w:cs="Times New Roman"/>
                <w:b/>
                <w:bCs/>
                <w:color w:val="000000"/>
                <w:sz w:val="16"/>
                <w:szCs w:val="16"/>
                <w:lang w:eastAsia="hu-HU"/>
              </w:rPr>
              <w:t>45,11</w:t>
            </w:r>
          </w:p>
        </w:tc>
        <w:tc>
          <w:tcPr>
            <w:tcW w:w="1276" w:type="dxa"/>
            <w:gridSpan w:val="3"/>
            <w:tcBorders>
              <w:top w:val="single" w:sz="4" w:space="0" w:color="auto"/>
              <w:left w:val="single" w:sz="18" w:space="0" w:color="auto"/>
              <w:bottom w:val="single" w:sz="18" w:space="0" w:color="auto"/>
              <w:right w:val="single" w:sz="18" w:space="0" w:color="auto"/>
            </w:tcBorders>
            <w:shd w:val="clear" w:color="auto" w:fill="auto"/>
          </w:tcPr>
          <w:p w:rsidR="00C64275" w:rsidRPr="00C64275" w:rsidRDefault="00C64275" w:rsidP="004B60A4">
            <w:pPr>
              <w:jc w:val="center"/>
              <w:rPr>
                <w:rFonts w:ascii="Times New Roman" w:eastAsia="Times New Roman" w:hAnsi="Times New Roman" w:cs="Times New Roman"/>
                <w:b/>
                <w:bCs/>
                <w:color w:val="000000"/>
                <w:sz w:val="16"/>
                <w:szCs w:val="16"/>
                <w:lang w:eastAsia="hu-HU"/>
              </w:rPr>
            </w:pPr>
            <w:r w:rsidRPr="00C64275">
              <w:rPr>
                <w:rFonts w:ascii="Times New Roman" w:eastAsia="Times New Roman" w:hAnsi="Times New Roman" w:cs="Times New Roman"/>
                <w:b/>
                <w:bCs/>
                <w:color w:val="000000"/>
                <w:sz w:val="16"/>
                <w:szCs w:val="16"/>
                <w:lang w:eastAsia="hu-HU"/>
              </w:rPr>
              <w:t>3,15</w:t>
            </w:r>
          </w:p>
        </w:tc>
      </w:tr>
    </w:tbl>
    <w:p w:rsidR="004B60A4" w:rsidRDefault="004B60A4" w:rsidP="00C64275"/>
    <w:p w:rsidR="00C64275" w:rsidRPr="00C64275" w:rsidRDefault="00C64275" w:rsidP="006B64CB">
      <w:pPr>
        <w:rPr>
          <w:rFonts w:ascii="Times New Roman" w:hAnsi="Times New Roman" w:cs="Times New Roman"/>
          <w:b/>
        </w:rPr>
      </w:pPr>
      <w:r>
        <w:rPr>
          <w:rFonts w:ascii="Times New Roman" w:hAnsi="Times New Roman" w:cs="Times New Roman"/>
          <w:b/>
        </w:rPr>
        <w:t>2.5.2. Az ügyek kimenetele a Veszprém megyében megoldott ügyek esetében</w:t>
      </w:r>
      <w:r w:rsidR="00830E45">
        <w:rPr>
          <w:rFonts w:ascii="Times New Roman" w:hAnsi="Times New Roman" w:cs="Times New Roman"/>
          <w:b/>
        </w:rPr>
        <w:t xml:space="preserve"> (megszüntetés)</w:t>
      </w:r>
    </w:p>
    <w:p w:rsidR="00024623" w:rsidRDefault="00024623" w:rsidP="00024623">
      <w:pPr>
        <w:autoSpaceDE w:val="0"/>
        <w:autoSpaceDN w:val="0"/>
        <w:adjustRightInd w:val="0"/>
        <w:rPr>
          <w:rFonts w:ascii="Times New Roman" w:hAnsi="Times New Roman" w:cs="Times New Roman"/>
        </w:rPr>
      </w:pPr>
    </w:p>
    <w:tbl>
      <w:tblPr>
        <w:tblW w:w="4880" w:type="dxa"/>
        <w:tblInd w:w="719" w:type="dxa"/>
        <w:tblLayout w:type="fixed"/>
        <w:tblCellMar>
          <w:left w:w="70" w:type="dxa"/>
          <w:right w:w="70" w:type="dxa"/>
        </w:tblCellMar>
        <w:tblLook w:val="04A0" w:firstRow="1" w:lastRow="0" w:firstColumn="1" w:lastColumn="0" w:noHBand="0" w:noVBand="1"/>
      </w:tblPr>
      <w:tblGrid>
        <w:gridCol w:w="769"/>
        <w:gridCol w:w="522"/>
        <w:gridCol w:w="567"/>
        <w:gridCol w:w="45"/>
        <w:gridCol w:w="567"/>
        <w:gridCol w:w="567"/>
        <w:gridCol w:w="567"/>
        <w:gridCol w:w="567"/>
        <w:gridCol w:w="709"/>
      </w:tblGrid>
      <w:tr w:rsidR="003D0D39" w:rsidRPr="003D0D39" w:rsidTr="00C64275">
        <w:trPr>
          <w:trHeight w:val="283"/>
        </w:trPr>
        <w:tc>
          <w:tcPr>
            <w:tcW w:w="769" w:type="dxa"/>
            <w:vMerge w:val="restart"/>
            <w:tcBorders>
              <w:top w:val="single" w:sz="18" w:space="0" w:color="000000"/>
              <w:left w:val="single" w:sz="18" w:space="0" w:color="auto"/>
              <w:right w:val="single" w:sz="8" w:space="0" w:color="000000"/>
            </w:tcBorders>
          </w:tcPr>
          <w:p w:rsidR="003D0D39" w:rsidRPr="003D0D39" w:rsidRDefault="003D0D39" w:rsidP="003D0D39">
            <w:pPr>
              <w:autoSpaceDE w:val="0"/>
              <w:autoSpaceDN w:val="0"/>
              <w:adjustRightInd w:val="0"/>
              <w:rPr>
                <w:rFonts w:ascii="Times New Roman" w:hAnsi="Times New Roman" w:cs="Times New Roman"/>
                <w:b/>
                <w:bCs/>
                <w:sz w:val="16"/>
                <w:szCs w:val="16"/>
              </w:rPr>
            </w:pPr>
            <w:r w:rsidRPr="003D0D39">
              <w:rPr>
                <w:rFonts w:ascii="Times New Roman" w:hAnsi="Times New Roman" w:cs="Times New Roman"/>
                <w:b/>
                <w:bCs/>
                <w:sz w:val="16"/>
                <w:szCs w:val="16"/>
              </w:rPr>
              <w:t xml:space="preserve">   </w:t>
            </w:r>
          </w:p>
          <w:p w:rsidR="003D0D39" w:rsidRPr="003D0D39" w:rsidRDefault="003D0D39" w:rsidP="003D0D39">
            <w:pPr>
              <w:autoSpaceDE w:val="0"/>
              <w:autoSpaceDN w:val="0"/>
              <w:adjustRightInd w:val="0"/>
              <w:rPr>
                <w:rFonts w:ascii="Times New Roman" w:hAnsi="Times New Roman" w:cs="Times New Roman"/>
                <w:b/>
                <w:bCs/>
                <w:sz w:val="16"/>
                <w:szCs w:val="16"/>
              </w:rPr>
            </w:pPr>
          </w:p>
          <w:p w:rsidR="003D0D39" w:rsidRPr="003D0D39" w:rsidRDefault="003D0D39" w:rsidP="003D0D39">
            <w:pPr>
              <w:autoSpaceDE w:val="0"/>
              <w:autoSpaceDN w:val="0"/>
              <w:adjustRightInd w:val="0"/>
              <w:rPr>
                <w:rFonts w:ascii="Times New Roman" w:hAnsi="Times New Roman" w:cs="Times New Roman"/>
                <w:b/>
                <w:bCs/>
                <w:sz w:val="16"/>
                <w:szCs w:val="16"/>
              </w:rPr>
            </w:pPr>
          </w:p>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2015.</w:t>
            </w:r>
          </w:p>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év</w:t>
            </w:r>
          </w:p>
        </w:tc>
        <w:tc>
          <w:tcPr>
            <w:tcW w:w="522" w:type="dxa"/>
            <w:vMerge w:val="restart"/>
            <w:tcBorders>
              <w:top w:val="single" w:sz="18" w:space="0" w:color="000000"/>
              <w:left w:val="single" w:sz="8" w:space="0" w:color="000000"/>
              <w:right w:val="single" w:sz="18" w:space="0" w:color="000000"/>
            </w:tcBorders>
          </w:tcPr>
          <w:p w:rsidR="003D0D39" w:rsidRPr="003D0D39" w:rsidRDefault="003D0D39" w:rsidP="003D0D39">
            <w:pPr>
              <w:autoSpaceDE w:val="0"/>
              <w:autoSpaceDN w:val="0"/>
              <w:adjustRightInd w:val="0"/>
              <w:rPr>
                <w:rFonts w:ascii="Times New Roman" w:hAnsi="Times New Roman" w:cs="Times New Roman"/>
                <w:b/>
                <w:bCs/>
                <w:sz w:val="16"/>
                <w:szCs w:val="16"/>
              </w:rPr>
            </w:pPr>
          </w:p>
          <w:p w:rsidR="003D0D39" w:rsidRPr="003D0D39" w:rsidRDefault="003D0D39" w:rsidP="003D0D39">
            <w:pPr>
              <w:autoSpaceDE w:val="0"/>
              <w:autoSpaceDN w:val="0"/>
              <w:adjustRightInd w:val="0"/>
              <w:rPr>
                <w:rFonts w:ascii="Times New Roman" w:hAnsi="Times New Roman" w:cs="Times New Roman"/>
                <w:b/>
                <w:bCs/>
                <w:sz w:val="16"/>
                <w:szCs w:val="16"/>
              </w:rPr>
            </w:pPr>
            <w:r w:rsidRPr="003D0D39">
              <w:rPr>
                <w:rFonts w:ascii="Times New Roman" w:hAnsi="Times New Roman" w:cs="Times New Roman"/>
                <w:b/>
                <w:bCs/>
                <w:sz w:val="16"/>
                <w:szCs w:val="16"/>
              </w:rPr>
              <w:t>ügy/</w:t>
            </w:r>
          </w:p>
          <w:p w:rsidR="003D0D39" w:rsidRPr="003D0D39" w:rsidRDefault="003D0D39" w:rsidP="003D0D39">
            <w:pPr>
              <w:autoSpaceDE w:val="0"/>
              <w:autoSpaceDN w:val="0"/>
              <w:adjustRightInd w:val="0"/>
              <w:rPr>
                <w:rFonts w:ascii="Times New Roman" w:hAnsi="Times New Roman" w:cs="Times New Roman"/>
                <w:b/>
                <w:bCs/>
                <w:sz w:val="16"/>
                <w:szCs w:val="16"/>
              </w:rPr>
            </w:pPr>
          </w:p>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w:t>
            </w:r>
          </w:p>
        </w:tc>
        <w:tc>
          <w:tcPr>
            <w:tcW w:w="3589" w:type="dxa"/>
            <w:gridSpan w:val="7"/>
            <w:tcBorders>
              <w:top w:val="single" w:sz="18" w:space="0" w:color="000000"/>
              <w:left w:val="single" w:sz="8" w:space="0" w:color="000000"/>
              <w:bottom w:val="single" w:sz="18" w:space="0" w:color="000000"/>
              <w:right w:val="single" w:sz="18" w:space="0" w:color="auto"/>
            </w:tcBorders>
            <w:shd w:val="clear" w:color="auto" w:fill="auto"/>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az ügy kimenetele</w:t>
            </w:r>
          </w:p>
        </w:tc>
      </w:tr>
      <w:tr w:rsidR="003D0D39" w:rsidRPr="003D0D39" w:rsidTr="00C64275">
        <w:trPr>
          <w:trHeight w:val="307"/>
        </w:trPr>
        <w:tc>
          <w:tcPr>
            <w:tcW w:w="769" w:type="dxa"/>
            <w:vMerge/>
            <w:tcBorders>
              <w:top w:val="single" w:sz="8" w:space="0" w:color="000000"/>
              <w:left w:val="single" w:sz="18" w:space="0" w:color="auto"/>
              <w:right w:val="single" w:sz="8" w:space="0" w:color="000000"/>
            </w:tcBorders>
          </w:tcPr>
          <w:p w:rsidR="003D0D39" w:rsidRPr="003D0D39" w:rsidRDefault="003D0D39" w:rsidP="003D0D39">
            <w:pPr>
              <w:autoSpaceDE w:val="0"/>
              <w:autoSpaceDN w:val="0"/>
              <w:adjustRightInd w:val="0"/>
              <w:rPr>
                <w:rFonts w:ascii="Times New Roman" w:hAnsi="Times New Roman" w:cs="Times New Roman"/>
                <w:b/>
                <w:bCs/>
                <w:sz w:val="16"/>
                <w:szCs w:val="16"/>
              </w:rPr>
            </w:pPr>
          </w:p>
        </w:tc>
        <w:tc>
          <w:tcPr>
            <w:tcW w:w="522" w:type="dxa"/>
            <w:vMerge/>
            <w:tcBorders>
              <w:top w:val="single" w:sz="8" w:space="0" w:color="000000"/>
              <w:left w:val="single" w:sz="8" w:space="0" w:color="000000"/>
              <w:right w:val="single" w:sz="18" w:space="0" w:color="000000"/>
            </w:tcBorders>
          </w:tcPr>
          <w:p w:rsidR="003D0D39" w:rsidRPr="003D0D39" w:rsidRDefault="003D0D39" w:rsidP="003D0D39">
            <w:pPr>
              <w:autoSpaceDE w:val="0"/>
              <w:autoSpaceDN w:val="0"/>
              <w:adjustRightInd w:val="0"/>
              <w:rPr>
                <w:rFonts w:ascii="Times New Roman" w:hAnsi="Times New Roman" w:cs="Times New Roman"/>
                <w:b/>
                <w:bCs/>
                <w:sz w:val="16"/>
                <w:szCs w:val="16"/>
              </w:rPr>
            </w:pPr>
          </w:p>
        </w:tc>
        <w:tc>
          <w:tcPr>
            <w:tcW w:w="567" w:type="dxa"/>
            <w:tcBorders>
              <w:top w:val="single" w:sz="18" w:space="0" w:color="000000"/>
              <w:left w:val="single" w:sz="8" w:space="0" w:color="000000"/>
              <w:bottom w:val="single" w:sz="18" w:space="0" w:color="000000"/>
              <w:right w:val="single" w:sz="8" w:space="0" w:color="000000"/>
            </w:tcBorders>
            <w:shd w:val="clear" w:color="auto" w:fill="auto"/>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Pr>
                <w:rFonts w:ascii="Times New Roman" w:hAnsi="Times New Roman" w:cs="Times New Roman"/>
                <w:b/>
                <w:bCs/>
                <w:sz w:val="16"/>
                <w:szCs w:val="16"/>
              </w:rPr>
              <w:t>A</w:t>
            </w:r>
          </w:p>
        </w:tc>
        <w:tc>
          <w:tcPr>
            <w:tcW w:w="612" w:type="dxa"/>
            <w:gridSpan w:val="2"/>
            <w:tcBorders>
              <w:top w:val="single" w:sz="18" w:space="0" w:color="000000"/>
              <w:left w:val="single" w:sz="8" w:space="0" w:color="000000"/>
              <w:bottom w:val="single" w:sz="18" w:space="0" w:color="000000"/>
              <w:right w:val="single" w:sz="8" w:space="0" w:color="000000"/>
            </w:tcBorders>
            <w:shd w:val="clear" w:color="auto" w:fill="auto"/>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Pr>
                <w:rFonts w:ascii="Times New Roman" w:hAnsi="Times New Roman" w:cs="Times New Roman"/>
                <w:b/>
                <w:bCs/>
                <w:sz w:val="16"/>
                <w:szCs w:val="16"/>
              </w:rPr>
              <w:t>B</w:t>
            </w:r>
          </w:p>
        </w:tc>
        <w:tc>
          <w:tcPr>
            <w:tcW w:w="567" w:type="dxa"/>
            <w:tcBorders>
              <w:top w:val="single" w:sz="18" w:space="0" w:color="000000"/>
              <w:left w:val="single" w:sz="8" w:space="0" w:color="000000"/>
              <w:bottom w:val="single" w:sz="18" w:space="0" w:color="000000"/>
              <w:right w:val="single" w:sz="8" w:space="0" w:color="000000"/>
            </w:tcBorders>
            <w:shd w:val="clear" w:color="auto" w:fill="auto"/>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Pr>
                <w:rFonts w:ascii="Times New Roman" w:hAnsi="Times New Roman" w:cs="Times New Roman"/>
                <w:b/>
                <w:bCs/>
                <w:sz w:val="16"/>
                <w:szCs w:val="16"/>
              </w:rPr>
              <w:t>C</w:t>
            </w:r>
          </w:p>
        </w:tc>
        <w:tc>
          <w:tcPr>
            <w:tcW w:w="567" w:type="dxa"/>
            <w:tcBorders>
              <w:top w:val="single" w:sz="18" w:space="0" w:color="000000"/>
              <w:left w:val="single" w:sz="8" w:space="0" w:color="000000"/>
              <w:bottom w:val="single" w:sz="18" w:space="0" w:color="000000"/>
              <w:right w:val="single" w:sz="8" w:space="0" w:color="000000"/>
            </w:tcBorders>
            <w:shd w:val="clear" w:color="auto" w:fill="auto"/>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Pr>
                <w:rFonts w:ascii="Times New Roman" w:hAnsi="Times New Roman" w:cs="Times New Roman"/>
                <w:b/>
                <w:bCs/>
                <w:sz w:val="16"/>
                <w:szCs w:val="16"/>
              </w:rPr>
              <w:t>D</w:t>
            </w:r>
          </w:p>
        </w:tc>
        <w:tc>
          <w:tcPr>
            <w:tcW w:w="567" w:type="dxa"/>
            <w:tcBorders>
              <w:top w:val="single" w:sz="18" w:space="0" w:color="000000"/>
              <w:left w:val="single" w:sz="8" w:space="0" w:color="000000"/>
              <w:bottom w:val="single" w:sz="18" w:space="0" w:color="000000"/>
              <w:right w:val="single" w:sz="8" w:space="0" w:color="000000"/>
            </w:tcBorders>
            <w:shd w:val="clear" w:color="auto" w:fill="auto"/>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Pr>
                <w:rFonts w:ascii="Times New Roman" w:hAnsi="Times New Roman" w:cs="Times New Roman"/>
                <w:b/>
                <w:bCs/>
                <w:sz w:val="16"/>
                <w:szCs w:val="16"/>
              </w:rPr>
              <w:t>E</w:t>
            </w:r>
          </w:p>
        </w:tc>
        <w:tc>
          <w:tcPr>
            <w:tcW w:w="709" w:type="dxa"/>
            <w:tcBorders>
              <w:top w:val="single" w:sz="18" w:space="0" w:color="000000"/>
              <w:left w:val="nil"/>
              <w:bottom w:val="single" w:sz="18" w:space="0" w:color="000000"/>
              <w:right w:val="single" w:sz="18" w:space="0" w:color="auto"/>
            </w:tcBorders>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Pr>
                <w:rFonts w:ascii="Times New Roman" w:hAnsi="Times New Roman" w:cs="Times New Roman"/>
                <w:b/>
                <w:bCs/>
                <w:sz w:val="16"/>
                <w:szCs w:val="16"/>
              </w:rPr>
              <w:t>F</w:t>
            </w:r>
          </w:p>
        </w:tc>
      </w:tr>
      <w:tr w:rsidR="003D0D39" w:rsidRPr="003D0D39" w:rsidTr="004B60A4">
        <w:trPr>
          <w:trHeight w:val="280"/>
        </w:trPr>
        <w:tc>
          <w:tcPr>
            <w:tcW w:w="769" w:type="dxa"/>
            <w:vMerge/>
            <w:tcBorders>
              <w:top w:val="single" w:sz="8" w:space="0" w:color="000000"/>
              <w:left w:val="single" w:sz="18" w:space="0" w:color="auto"/>
              <w:right w:val="single" w:sz="8" w:space="0" w:color="000000"/>
            </w:tcBorders>
          </w:tcPr>
          <w:p w:rsidR="003D0D39" w:rsidRPr="003D0D39" w:rsidRDefault="003D0D39" w:rsidP="003D0D39">
            <w:pPr>
              <w:autoSpaceDE w:val="0"/>
              <w:autoSpaceDN w:val="0"/>
              <w:adjustRightInd w:val="0"/>
              <w:rPr>
                <w:rFonts w:ascii="Times New Roman" w:hAnsi="Times New Roman" w:cs="Times New Roman"/>
                <w:b/>
                <w:bCs/>
                <w:sz w:val="16"/>
                <w:szCs w:val="16"/>
              </w:rPr>
            </w:pPr>
          </w:p>
        </w:tc>
        <w:tc>
          <w:tcPr>
            <w:tcW w:w="522" w:type="dxa"/>
            <w:vMerge/>
            <w:tcBorders>
              <w:top w:val="single" w:sz="8" w:space="0" w:color="000000"/>
              <w:left w:val="single" w:sz="8" w:space="0" w:color="000000"/>
              <w:right w:val="single" w:sz="18" w:space="0" w:color="000000"/>
            </w:tcBorders>
          </w:tcPr>
          <w:p w:rsidR="003D0D39" w:rsidRPr="003D0D39" w:rsidRDefault="003D0D39" w:rsidP="003D0D39">
            <w:pPr>
              <w:autoSpaceDE w:val="0"/>
              <w:autoSpaceDN w:val="0"/>
              <w:adjustRightInd w:val="0"/>
              <w:rPr>
                <w:rFonts w:ascii="Times New Roman" w:hAnsi="Times New Roman" w:cs="Times New Roman"/>
                <w:b/>
                <w:bCs/>
                <w:sz w:val="16"/>
                <w:szCs w:val="16"/>
              </w:rPr>
            </w:pPr>
          </w:p>
        </w:tc>
        <w:tc>
          <w:tcPr>
            <w:tcW w:w="2313" w:type="dxa"/>
            <w:gridSpan w:val="5"/>
            <w:tcBorders>
              <w:top w:val="single" w:sz="18" w:space="0" w:color="000000"/>
              <w:left w:val="single" w:sz="8" w:space="0" w:color="000000"/>
              <w:bottom w:val="single" w:sz="8" w:space="0" w:color="000000"/>
              <w:right w:val="single" w:sz="8" w:space="0" w:color="000000"/>
            </w:tcBorders>
            <w:shd w:val="clear" w:color="auto" w:fill="auto"/>
            <w:hideMark/>
          </w:tcPr>
          <w:p w:rsidR="003D0D39" w:rsidRPr="003D0D39" w:rsidRDefault="003D0D39" w:rsidP="004B60A4">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Megszűntetés</w:t>
            </w:r>
            <w:r w:rsidR="004B60A4">
              <w:rPr>
                <w:rFonts w:ascii="Times New Roman" w:hAnsi="Times New Roman" w:cs="Times New Roman"/>
                <w:b/>
                <w:bCs/>
                <w:sz w:val="16"/>
                <w:szCs w:val="16"/>
              </w:rPr>
              <w:t xml:space="preserve"> </w:t>
            </w:r>
            <w:r w:rsidR="004B60A4" w:rsidRPr="003D0D39">
              <w:rPr>
                <w:rFonts w:ascii="Times New Roman" w:hAnsi="Times New Roman" w:cs="Times New Roman"/>
                <w:b/>
                <w:bCs/>
                <w:sz w:val="16"/>
                <w:szCs w:val="16"/>
              </w:rPr>
              <w:t>31. § (3)</w:t>
            </w:r>
          </w:p>
        </w:tc>
        <w:tc>
          <w:tcPr>
            <w:tcW w:w="567" w:type="dxa"/>
            <w:tcBorders>
              <w:top w:val="single" w:sz="18" w:space="0" w:color="000000"/>
              <w:left w:val="single" w:sz="8" w:space="0" w:color="000000"/>
              <w:bottom w:val="single" w:sz="8" w:space="0" w:color="000000"/>
              <w:right w:val="single" w:sz="8" w:space="0" w:color="000000"/>
            </w:tcBorders>
            <w:shd w:val="clear" w:color="auto" w:fill="auto"/>
          </w:tcPr>
          <w:p w:rsidR="003D0D39" w:rsidRPr="003D0D39" w:rsidRDefault="003D0D39" w:rsidP="003D0D39">
            <w:pPr>
              <w:autoSpaceDE w:val="0"/>
              <w:autoSpaceDN w:val="0"/>
              <w:adjustRightInd w:val="0"/>
              <w:jc w:val="center"/>
              <w:rPr>
                <w:rFonts w:ascii="Times New Roman" w:hAnsi="Times New Roman" w:cs="Times New Roman"/>
                <w:b/>
                <w:bCs/>
                <w:sz w:val="16"/>
                <w:szCs w:val="16"/>
              </w:rPr>
            </w:pPr>
          </w:p>
        </w:tc>
        <w:tc>
          <w:tcPr>
            <w:tcW w:w="709" w:type="dxa"/>
            <w:tcBorders>
              <w:top w:val="single" w:sz="18" w:space="0" w:color="000000"/>
              <w:left w:val="nil"/>
              <w:bottom w:val="single" w:sz="8" w:space="0" w:color="000000"/>
              <w:right w:val="single" w:sz="18" w:space="0" w:color="auto"/>
            </w:tcBorders>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Elu</w:t>
            </w:r>
            <w:r>
              <w:rPr>
                <w:rFonts w:ascii="Times New Roman" w:hAnsi="Times New Roman" w:cs="Times New Roman"/>
                <w:b/>
                <w:bCs/>
                <w:sz w:val="16"/>
                <w:szCs w:val="16"/>
              </w:rPr>
              <w:t>t.</w:t>
            </w:r>
          </w:p>
        </w:tc>
      </w:tr>
      <w:tr w:rsidR="003D0D39" w:rsidRPr="003D0D39" w:rsidTr="004B60A4">
        <w:trPr>
          <w:trHeight w:val="182"/>
        </w:trPr>
        <w:tc>
          <w:tcPr>
            <w:tcW w:w="769" w:type="dxa"/>
            <w:vMerge/>
            <w:tcBorders>
              <w:top w:val="single" w:sz="8" w:space="0" w:color="000000"/>
              <w:left w:val="single" w:sz="18" w:space="0" w:color="auto"/>
              <w:bottom w:val="single" w:sz="18" w:space="0" w:color="000000"/>
              <w:right w:val="single" w:sz="8" w:space="0" w:color="000000"/>
            </w:tcBorders>
          </w:tcPr>
          <w:p w:rsidR="003D0D39" w:rsidRPr="003D0D39" w:rsidRDefault="003D0D39" w:rsidP="003D0D39">
            <w:pPr>
              <w:autoSpaceDE w:val="0"/>
              <w:autoSpaceDN w:val="0"/>
              <w:adjustRightInd w:val="0"/>
              <w:rPr>
                <w:rFonts w:ascii="Times New Roman" w:hAnsi="Times New Roman" w:cs="Times New Roman"/>
                <w:b/>
                <w:bCs/>
                <w:sz w:val="16"/>
                <w:szCs w:val="16"/>
              </w:rPr>
            </w:pPr>
          </w:p>
        </w:tc>
        <w:tc>
          <w:tcPr>
            <w:tcW w:w="522" w:type="dxa"/>
            <w:vMerge/>
            <w:tcBorders>
              <w:top w:val="single" w:sz="8" w:space="0" w:color="000000"/>
              <w:left w:val="single" w:sz="8" w:space="0" w:color="000000"/>
              <w:bottom w:val="single" w:sz="18" w:space="0" w:color="000000"/>
              <w:right w:val="single" w:sz="18" w:space="0" w:color="000000"/>
            </w:tcBorders>
            <w:vAlign w:val="bottom"/>
          </w:tcPr>
          <w:p w:rsidR="003D0D39" w:rsidRPr="003D0D39" w:rsidRDefault="003D0D39" w:rsidP="003D0D39">
            <w:pPr>
              <w:autoSpaceDE w:val="0"/>
              <w:autoSpaceDN w:val="0"/>
              <w:adjustRightInd w:val="0"/>
              <w:rPr>
                <w:rFonts w:ascii="Times New Roman" w:hAnsi="Times New Roman" w:cs="Times New Roman"/>
                <w:b/>
                <w:bCs/>
                <w:sz w:val="16"/>
                <w:szCs w:val="16"/>
              </w:rPr>
            </w:pPr>
          </w:p>
        </w:tc>
        <w:tc>
          <w:tcPr>
            <w:tcW w:w="612" w:type="dxa"/>
            <w:gridSpan w:val="2"/>
            <w:tcBorders>
              <w:top w:val="nil"/>
              <w:left w:val="nil"/>
              <w:bottom w:val="single" w:sz="18" w:space="0" w:color="auto"/>
              <w:right w:val="single" w:sz="8" w:space="0" w:color="000000"/>
            </w:tcBorders>
            <w:shd w:val="clear" w:color="auto" w:fill="auto"/>
            <w:hideMark/>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a)</w:t>
            </w:r>
          </w:p>
        </w:tc>
        <w:tc>
          <w:tcPr>
            <w:tcW w:w="567" w:type="dxa"/>
            <w:tcBorders>
              <w:top w:val="nil"/>
              <w:left w:val="nil"/>
              <w:bottom w:val="single" w:sz="18" w:space="0" w:color="auto"/>
              <w:right w:val="single" w:sz="8" w:space="0" w:color="000000"/>
            </w:tcBorders>
            <w:shd w:val="clear" w:color="auto" w:fill="auto"/>
            <w:hideMark/>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b)</w:t>
            </w:r>
          </w:p>
        </w:tc>
        <w:tc>
          <w:tcPr>
            <w:tcW w:w="567" w:type="dxa"/>
            <w:tcBorders>
              <w:top w:val="nil"/>
              <w:left w:val="nil"/>
              <w:bottom w:val="single" w:sz="18" w:space="0" w:color="auto"/>
              <w:right w:val="single" w:sz="8" w:space="0" w:color="000000"/>
            </w:tcBorders>
            <w:shd w:val="clear" w:color="auto" w:fill="auto"/>
            <w:hideMark/>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c)</w:t>
            </w:r>
          </w:p>
        </w:tc>
        <w:tc>
          <w:tcPr>
            <w:tcW w:w="567" w:type="dxa"/>
            <w:tcBorders>
              <w:top w:val="nil"/>
              <w:left w:val="nil"/>
              <w:bottom w:val="single" w:sz="18" w:space="0" w:color="auto"/>
              <w:right w:val="single" w:sz="8" w:space="0" w:color="000000"/>
            </w:tcBorders>
            <w:shd w:val="clear" w:color="auto" w:fill="auto"/>
            <w:hideMark/>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d)</w:t>
            </w:r>
          </w:p>
        </w:tc>
        <w:tc>
          <w:tcPr>
            <w:tcW w:w="567" w:type="dxa"/>
            <w:tcBorders>
              <w:top w:val="nil"/>
              <w:left w:val="nil"/>
              <w:bottom w:val="single" w:sz="18" w:space="0" w:color="auto"/>
              <w:right w:val="single" w:sz="8" w:space="0" w:color="000000"/>
            </w:tcBorders>
            <w:shd w:val="clear" w:color="auto" w:fill="auto"/>
            <w:hideMark/>
          </w:tcPr>
          <w:p w:rsidR="003D0D39" w:rsidRPr="003D0D39" w:rsidRDefault="004B60A4" w:rsidP="004B60A4">
            <w:pPr>
              <w:autoSpaceDE w:val="0"/>
              <w:autoSpaceDN w:val="0"/>
              <w:adjustRightInd w:val="0"/>
              <w:jc w:val="center"/>
              <w:rPr>
                <w:rFonts w:ascii="Times New Roman" w:hAnsi="Times New Roman" w:cs="Times New Roman"/>
                <w:b/>
                <w:bCs/>
                <w:sz w:val="16"/>
                <w:szCs w:val="16"/>
              </w:rPr>
            </w:pPr>
            <w:r>
              <w:rPr>
                <w:rFonts w:ascii="Times New Roman" w:hAnsi="Times New Roman" w:cs="Times New Roman"/>
                <w:b/>
                <w:bCs/>
                <w:sz w:val="16"/>
                <w:szCs w:val="16"/>
              </w:rPr>
              <w:t>hiány</w:t>
            </w:r>
          </w:p>
        </w:tc>
        <w:tc>
          <w:tcPr>
            <w:tcW w:w="709" w:type="dxa"/>
            <w:tcBorders>
              <w:top w:val="nil"/>
              <w:left w:val="nil"/>
              <w:bottom w:val="single" w:sz="18" w:space="0" w:color="auto"/>
              <w:right w:val="single" w:sz="18" w:space="0" w:color="auto"/>
            </w:tcBorders>
          </w:tcPr>
          <w:p w:rsidR="003D0D39" w:rsidRPr="003D0D39" w:rsidRDefault="003D0D39" w:rsidP="003D0D39">
            <w:pPr>
              <w:autoSpaceDE w:val="0"/>
              <w:autoSpaceDN w:val="0"/>
              <w:adjustRightInd w:val="0"/>
              <w:jc w:val="center"/>
              <w:rPr>
                <w:rFonts w:ascii="Times New Roman" w:hAnsi="Times New Roman" w:cs="Times New Roman"/>
                <w:b/>
                <w:bCs/>
                <w:sz w:val="16"/>
                <w:szCs w:val="16"/>
              </w:rPr>
            </w:pPr>
            <w:r w:rsidRPr="003D0D39">
              <w:rPr>
                <w:rFonts w:ascii="Times New Roman" w:hAnsi="Times New Roman" w:cs="Times New Roman"/>
                <w:b/>
                <w:bCs/>
                <w:sz w:val="16"/>
                <w:szCs w:val="16"/>
              </w:rPr>
              <w:t>32/A. §</w:t>
            </w:r>
          </w:p>
        </w:tc>
      </w:tr>
      <w:tr w:rsidR="003D0D39" w:rsidRPr="003D0D39" w:rsidTr="00C64275">
        <w:trPr>
          <w:trHeight w:val="255"/>
        </w:trPr>
        <w:tc>
          <w:tcPr>
            <w:tcW w:w="769" w:type="dxa"/>
            <w:tcBorders>
              <w:top w:val="single" w:sz="18" w:space="0" w:color="000000"/>
              <w:left w:val="single" w:sz="18" w:space="0" w:color="auto"/>
              <w:bottom w:val="single" w:sz="18" w:space="0" w:color="auto"/>
              <w:right w:val="single" w:sz="4" w:space="0" w:color="000000"/>
            </w:tcBorders>
          </w:tcPr>
          <w:p w:rsidR="003D0D39" w:rsidRPr="003D0D39" w:rsidRDefault="003D0D39" w:rsidP="003D0D39">
            <w:pPr>
              <w:jc w:val="center"/>
              <w:rPr>
                <w:rFonts w:ascii="Times New Roman" w:eastAsia="Times New Roman" w:hAnsi="Times New Roman" w:cs="Times New Roman"/>
                <w:b/>
                <w:bCs/>
                <w:sz w:val="20"/>
                <w:szCs w:val="20"/>
                <w:lang w:eastAsia="hu-HU"/>
              </w:rPr>
            </w:pPr>
          </w:p>
        </w:tc>
        <w:tc>
          <w:tcPr>
            <w:tcW w:w="522" w:type="dxa"/>
            <w:tcBorders>
              <w:top w:val="single" w:sz="18" w:space="0" w:color="000000"/>
              <w:left w:val="single" w:sz="4" w:space="0" w:color="000000"/>
              <w:bottom w:val="single" w:sz="18" w:space="0" w:color="auto"/>
              <w:right w:val="single" w:sz="18" w:space="0" w:color="000000"/>
            </w:tcBorders>
            <w:vAlign w:val="bottom"/>
          </w:tcPr>
          <w:p w:rsidR="003D0D39" w:rsidRPr="003D0D39" w:rsidRDefault="003D0D39" w:rsidP="003D0D39">
            <w:pPr>
              <w:jc w:val="center"/>
              <w:rPr>
                <w:rFonts w:ascii="Times New Roman" w:eastAsia="Times New Roman" w:hAnsi="Times New Roman" w:cs="Times New Roman"/>
                <w:b/>
                <w:bCs/>
                <w:sz w:val="20"/>
                <w:szCs w:val="20"/>
                <w:lang w:eastAsia="hu-HU"/>
              </w:rPr>
            </w:pPr>
            <w:r w:rsidRPr="003D0D39">
              <w:rPr>
                <w:rFonts w:ascii="Times New Roman" w:eastAsia="Times New Roman" w:hAnsi="Times New Roman" w:cs="Times New Roman"/>
                <w:b/>
                <w:bCs/>
                <w:sz w:val="20"/>
                <w:szCs w:val="20"/>
                <w:lang w:eastAsia="hu-HU"/>
              </w:rPr>
              <w:t>307</w:t>
            </w:r>
          </w:p>
        </w:tc>
        <w:tc>
          <w:tcPr>
            <w:tcW w:w="612" w:type="dxa"/>
            <w:gridSpan w:val="2"/>
            <w:tcBorders>
              <w:top w:val="single" w:sz="18" w:space="0" w:color="auto"/>
              <w:left w:val="nil"/>
              <w:bottom w:val="single" w:sz="18" w:space="0" w:color="auto"/>
              <w:right w:val="single" w:sz="4" w:space="0" w:color="000000"/>
            </w:tcBorders>
            <w:shd w:val="clear" w:color="auto" w:fill="auto"/>
            <w:noWrap/>
            <w:vAlign w:val="bottom"/>
          </w:tcPr>
          <w:p w:rsidR="003D0D39" w:rsidRPr="003D0D39" w:rsidRDefault="003D0D39" w:rsidP="003D0D39">
            <w:pPr>
              <w:jc w:val="center"/>
              <w:rPr>
                <w:rFonts w:ascii="Times New Roman" w:eastAsia="Times New Roman" w:hAnsi="Times New Roman" w:cs="Times New Roman"/>
                <w:b/>
                <w:bCs/>
                <w:sz w:val="20"/>
                <w:szCs w:val="20"/>
                <w:lang w:eastAsia="hu-HU"/>
              </w:rPr>
            </w:pPr>
            <w:r w:rsidRPr="003D0D39">
              <w:rPr>
                <w:rFonts w:ascii="Times New Roman" w:eastAsia="Times New Roman" w:hAnsi="Times New Roman" w:cs="Times New Roman"/>
                <w:b/>
                <w:bCs/>
                <w:sz w:val="20"/>
                <w:szCs w:val="20"/>
                <w:lang w:eastAsia="hu-HU"/>
              </w:rPr>
              <w:t>15</w:t>
            </w:r>
          </w:p>
        </w:tc>
        <w:tc>
          <w:tcPr>
            <w:tcW w:w="567" w:type="dxa"/>
            <w:tcBorders>
              <w:top w:val="single" w:sz="18" w:space="0" w:color="auto"/>
              <w:left w:val="nil"/>
              <w:bottom w:val="single" w:sz="18" w:space="0" w:color="auto"/>
              <w:right w:val="single" w:sz="4" w:space="0" w:color="000000"/>
            </w:tcBorders>
            <w:shd w:val="clear" w:color="auto" w:fill="auto"/>
            <w:noWrap/>
            <w:vAlign w:val="bottom"/>
          </w:tcPr>
          <w:p w:rsidR="003D0D39" w:rsidRPr="003D0D39" w:rsidRDefault="003D0D39" w:rsidP="003D0D39">
            <w:pPr>
              <w:jc w:val="center"/>
              <w:rPr>
                <w:rFonts w:ascii="Times New Roman" w:eastAsia="Times New Roman" w:hAnsi="Times New Roman" w:cs="Times New Roman"/>
                <w:b/>
                <w:bCs/>
                <w:sz w:val="20"/>
                <w:szCs w:val="20"/>
                <w:lang w:eastAsia="hu-HU"/>
              </w:rPr>
            </w:pPr>
            <w:r w:rsidRPr="003D0D39">
              <w:rPr>
                <w:rFonts w:ascii="Times New Roman" w:eastAsia="Times New Roman" w:hAnsi="Times New Roman" w:cs="Times New Roman"/>
                <w:b/>
                <w:bCs/>
                <w:sz w:val="20"/>
                <w:szCs w:val="20"/>
                <w:lang w:eastAsia="hu-HU"/>
              </w:rPr>
              <w:t>15</w:t>
            </w:r>
          </w:p>
        </w:tc>
        <w:tc>
          <w:tcPr>
            <w:tcW w:w="567" w:type="dxa"/>
            <w:tcBorders>
              <w:top w:val="single" w:sz="18" w:space="0" w:color="auto"/>
              <w:left w:val="nil"/>
              <w:bottom w:val="single" w:sz="18" w:space="0" w:color="auto"/>
              <w:right w:val="single" w:sz="4" w:space="0" w:color="000000"/>
            </w:tcBorders>
            <w:shd w:val="clear" w:color="auto" w:fill="auto"/>
            <w:noWrap/>
            <w:vAlign w:val="bottom"/>
          </w:tcPr>
          <w:p w:rsidR="003D0D39" w:rsidRPr="003D0D39" w:rsidRDefault="003D0D39" w:rsidP="003D0D39">
            <w:pPr>
              <w:jc w:val="center"/>
              <w:rPr>
                <w:rFonts w:ascii="Times New Roman" w:eastAsia="Times New Roman" w:hAnsi="Times New Roman" w:cs="Times New Roman"/>
                <w:b/>
                <w:bCs/>
                <w:sz w:val="20"/>
                <w:szCs w:val="20"/>
                <w:lang w:eastAsia="hu-HU"/>
              </w:rPr>
            </w:pPr>
            <w:r w:rsidRPr="003D0D39">
              <w:rPr>
                <w:rFonts w:ascii="Times New Roman" w:eastAsia="Times New Roman" w:hAnsi="Times New Roman" w:cs="Times New Roman"/>
                <w:b/>
                <w:bCs/>
                <w:sz w:val="20"/>
                <w:szCs w:val="20"/>
                <w:lang w:eastAsia="hu-HU"/>
              </w:rPr>
              <w:t>52</w:t>
            </w:r>
          </w:p>
        </w:tc>
        <w:tc>
          <w:tcPr>
            <w:tcW w:w="567" w:type="dxa"/>
            <w:tcBorders>
              <w:top w:val="single" w:sz="18" w:space="0" w:color="auto"/>
              <w:left w:val="nil"/>
              <w:bottom w:val="single" w:sz="18" w:space="0" w:color="auto"/>
              <w:right w:val="single" w:sz="4" w:space="0" w:color="000000"/>
            </w:tcBorders>
            <w:shd w:val="clear" w:color="auto" w:fill="auto"/>
            <w:noWrap/>
            <w:vAlign w:val="bottom"/>
          </w:tcPr>
          <w:p w:rsidR="003D0D39" w:rsidRPr="003D0D39" w:rsidRDefault="003D0D39" w:rsidP="003D0D39">
            <w:pPr>
              <w:jc w:val="center"/>
              <w:rPr>
                <w:rFonts w:ascii="Times New Roman" w:eastAsia="Times New Roman" w:hAnsi="Times New Roman" w:cs="Times New Roman"/>
                <w:b/>
                <w:bCs/>
                <w:sz w:val="20"/>
                <w:szCs w:val="20"/>
                <w:lang w:eastAsia="hu-HU"/>
              </w:rPr>
            </w:pPr>
            <w:r w:rsidRPr="003D0D39">
              <w:rPr>
                <w:rFonts w:ascii="Times New Roman" w:eastAsia="Times New Roman" w:hAnsi="Times New Roman" w:cs="Times New Roman"/>
                <w:b/>
                <w:bCs/>
                <w:sz w:val="20"/>
                <w:szCs w:val="20"/>
                <w:lang w:eastAsia="hu-HU"/>
              </w:rPr>
              <w:t>51</w:t>
            </w:r>
          </w:p>
        </w:tc>
        <w:tc>
          <w:tcPr>
            <w:tcW w:w="567" w:type="dxa"/>
            <w:tcBorders>
              <w:top w:val="single" w:sz="18" w:space="0" w:color="auto"/>
              <w:left w:val="nil"/>
              <w:bottom w:val="single" w:sz="18" w:space="0" w:color="auto"/>
              <w:right w:val="single" w:sz="4" w:space="0" w:color="000000"/>
            </w:tcBorders>
            <w:shd w:val="clear" w:color="auto" w:fill="auto"/>
            <w:noWrap/>
            <w:vAlign w:val="bottom"/>
          </w:tcPr>
          <w:p w:rsidR="003D0D39" w:rsidRPr="003D0D39" w:rsidRDefault="003D0D39" w:rsidP="003D0D39">
            <w:pPr>
              <w:jc w:val="center"/>
              <w:rPr>
                <w:rFonts w:ascii="Times New Roman" w:eastAsia="Times New Roman" w:hAnsi="Times New Roman" w:cs="Times New Roman"/>
                <w:b/>
                <w:bCs/>
                <w:sz w:val="20"/>
                <w:szCs w:val="20"/>
                <w:lang w:eastAsia="hu-HU"/>
              </w:rPr>
            </w:pPr>
            <w:r w:rsidRPr="003D0D39">
              <w:rPr>
                <w:rFonts w:ascii="Times New Roman" w:eastAsia="Times New Roman" w:hAnsi="Times New Roman" w:cs="Times New Roman"/>
                <w:b/>
                <w:bCs/>
                <w:sz w:val="20"/>
                <w:szCs w:val="20"/>
                <w:lang w:eastAsia="hu-HU"/>
              </w:rPr>
              <w:t>5</w:t>
            </w:r>
          </w:p>
        </w:tc>
        <w:tc>
          <w:tcPr>
            <w:tcW w:w="709" w:type="dxa"/>
            <w:tcBorders>
              <w:top w:val="single" w:sz="18" w:space="0" w:color="auto"/>
              <w:left w:val="nil"/>
              <w:bottom w:val="single" w:sz="18" w:space="0" w:color="auto"/>
              <w:right w:val="single" w:sz="18" w:space="0" w:color="auto"/>
            </w:tcBorders>
            <w:vAlign w:val="bottom"/>
          </w:tcPr>
          <w:p w:rsidR="003D0D39" w:rsidRPr="003D0D39" w:rsidRDefault="003D0D39" w:rsidP="003D0D39">
            <w:pPr>
              <w:jc w:val="center"/>
              <w:rPr>
                <w:rFonts w:ascii="Times New Roman" w:eastAsia="Times New Roman" w:hAnsi="Times New Roman" w:cs="Times New Roman"/>
                <w:b/>
                <w:bCs/>
                <w:sz w:val="20"/>
                <w:szCs w:val="20"/>
                <w:lang w:eastAsia="hu-HU"/>
              </w:rPr>
            </w:pPr>
            <w:r w:rsidRPr="003D0D39">
              <w:rPr>
                <w:rFonts w:ascii="Times New Roman" w:eastAsia="Times New Roman" w:hAnsi="Times New Roman" w:cs="Times New Roman"/>
                <w:b/>
                <w:bCs/>
                <w:sz w:val="20"/>
                <w:szCs w:val="20"/>
                <w:lang w:eastAsia="hu-HU"/>
              </w:rPr>
              <w:t>5</w:t>
            </w:r>
          </w:p>
        </w:tc>
      </w:tr>
      <w:tr w:rsidR="003D0D39" w:rsidRPr="003D0D39" w:rsidTr="004B60A4">
        <w:trPr>
          <w:trHeight w:val="305"/>
        </w:trPr>
        <w:tc>
          <w:tcPr>
            <w:tcW w:w="769" w:type="dxa"/>
            <w:tcBorders>
              <w:top w:val="single" w:sz="18" w:space="0" w:color="auto"/>
              <w:left w:val="single" w:sz="18" w:space="0" w:color="auto"/>
              <w:bottom w:val="single" w:sz="4" w:space="0" w:color="000000"/>
              <w:right w:val="single" w:sz="4" w:space="0" w:color="000000"/>
            </w:tcBorders>
          </w:tcPr>
          <w:p w:rsidR="003D0D39" w:rsidRPr="003D0D39" w:rsidRDefault="003D0D39" w:rsidP="003D0D39">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1)</w:t>
            </w:r>
          </w:p>
        </w:tc>
        <w:tc>
          <w:tcPr>
            <w:tcW w:w="522" w:type="dxa"/>
            <w:tcBorders>
              <w:top w:val="single" w:sz="18" w:space="0" w:color="auto"/>
              <w:left w:val="single" w:sz="4" w:space="0" w:color="000000"/>
              <w:bottom w:val="single" w:sz="4" w:space="0" w:color="000000"/>
              <w:right w:val="single" w:sz="18" w:space="0" w:color="000000"/>
            </w:tcBorders>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w:t>
            </w:r>
          </w:p>
        </w:tc>
        <w:tc>
          <w:tcPr>
            <w:tcW w:w="612" w:type="dxa"/>
            <w:gridSpan w:val="2"/>
            <w:tcBorders>
              <w:top w:val="single" w:sz="18" w:space="0" w:color="auto"/>
              <w:left w:val="single" w:sz="18" w:space="0" w:color="000000"/>
              <w:bottom w:val="single" w:sz="4" w:space="0" w:color="000000"/>
              <w:right w:val="single" w:sz="4" w:space="0" w:color="000000"/>
            </w:tcBorders>
            <w:shd w:val="clear" w:color="auto" w:fill="auto"/>
            <w:noWrap/>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4,89</w:t>
            </w:r>
          </w:p>
        </w:tc>
        <w:tc>
          <w:tcPr>
            <w:tcW w:w="567" w:type="dxa"/>
            <w:tcBorders>
              <w:top w:val="single" w:sz="18" w:space="0" w:color="auto"/>
              <w:left w:val="nil"/>
              <w:bottom w:val="single" w:sz="4" w:space="0" w:color="000000"/>
              <w:right w:val="single" w:sz="18" w:space="0" w:color="000000"/>
            </w:tcBorders>
            <w:shd w:val="clear" w:color="auto" w:fill="auto"/>
            <w:noWrap/>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4,89</w:t>
            </w:r>
          </w:p>
        </w:tc>
        <w:tc>
          <w:tcPr>
            <w:tcW w:w="567" w:type="dxa"/>
            <w:tcBorders>
              <w:top w:val="single" w:sz="18" w:space="0" w:color="auto"/>
              <w:left w:val="single" w:sz="18" w:space="0" w:color="000000"/>
              <w:bottom w:val="single" w:sz="4" w:space="0" w:color="000000"/>
              <w:right w:val="single" w:sz="4" w:space="0" w:color="000000"/>
            </w:tcBorders>
            <w:shd w:val="clear" w:color="auto" w:fill="auto"/>
            <w:noWrap/>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16,94</w:t>
            </w:r>
          </w:p>
        </w:tc>
        <w:tc>
          <w:tcPr>
            <w:tcW w:w="567" w:type="dxa"/>
            <w:tcBorders>
              <w:top w:val="single" w:sz="18" w:space="0" w:color="auto"/>
              <w:left w:val="nil"/>
              <w:bottom w:val="single" w:sz="4" w:space="0" w:color="000000"/>
              <w:right w:val="single" w:sz="18" w:space="0" w:color="000000"/>
            </w:tcBorders>
            <w:shd w:val="clear" w:color="auto" w:fill="auto"/>
            <w:noWrap/>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16,61</w:t>
            </w:r>
          </w:p>
        </w:tc>
        <w:tc>
          <w:tcPr>
            <w:tcW w:w="567" w:type="dxa"/>
            <w:tcBorders>
              <w:top w:val="single" w:sz="18" w:space="0" w:color="auto"/>
              <w:left w:val="single" w:sz="18" w:space="0" w:color="000000"/>
              <w:bottom w:val="single" w:sz="4" w:space="0" w:color="000000"/>
              <w:right w:val="single" w:sz="18" w:space="0" w:color="000000"/>
            </w:tcBorders>
            <w:shd w:val="clear" w:color="auto" w:fill="auto"/>
            <w:noWrap/>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1,63</w:t>
            </w:r>
          </w:p>
        </w:tc>
        <w:tc>
          <w:tcPr>
            <w:tcW w:w="709" w:type="dxa"/>
            <w:tcBorders>
              <w:top w:val="single" w:sz="18" w:space="0" w:color="auto"/>
              <w:left w:val="single" w:sz="18" w:space="0" w:color="000000"/>
              <w:bottom w:val="single" w:sz="4" w:space="0" w:color="000000"/>
              <w:right w:val="single" w:sz="18" w:space="0" w:color="auto"/>
            </w:tcBorders>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1,63</w:t>
            </w:r>
          </w:p>
        </w:tc>
      </w:tr>
      <w:tr w:rsidR="003D0D39" w:rsidRPr="003D0D39" w:rsidTr="004B60A4">
        <w:trPr>
          <w:trHeight w:val="274"/>
        </w:trPr>
        <w:tc>
          <w:tcPr>
            <w:tcW w:w="769" w:type="dxa"/>
            <w:tcBorders>
              <w:top w:val="single" w:sz="4" w:space="0" w:color="auto"/>
              <w:left w:val="single" w:sz="18" w:space="0" w:color="auto"/>
              <w:bottom w:val="single" w:sz="4" w:space="0" w:color="auto"/>
              <w:right w:val="single" w:sz="4" w:space="0" w:color="auto"/>
            </w:tcBorders>
          </w:tcPr>
          <w:p w:rsidR="003D0D39" w:rsidRPr="003D0D39" w:rsidRDefault="003D0D39" w:rsidP="003D0D39">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2)</w:t>
            </w:r>
          </w:p>
        </w:tc>
        <w:tc>
          <w:tcPr>
            <w:tcW w:w="522" w:type="dxa"/>
            <w:tcBorders>
              <w:top w:val="single" w:sz="4" w:space="0" w:color="auto"/>
              <w:left w:val="single" w:sz="4" w:space="0" w:color="auto"/>
              <w:bottom w:val="single" w:sz="4" w:space="0" w:color="auto"/>
              <w:right w:val="single" w:sz="18" w:space="0" w:color="auto"/>
            </w:tcBorders>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w:t>
            </w:r>
          </w:p>
        </w:tc>
        <w:tc>
          <w:tcPr>
            <w:tcW w:w="1179" w:type="dxa"/>
            <w:gridSpan w:val="3"/>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9,77</w:t>
            </w:r>
          </w:p>
        </w:tc>
        <w:tc>
          <w:tcPr>
            <w:tcW w:w="1134" w:type="dxa"/>
            <w:gridSpan w:val="2"/>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33,55</w:t>
            </w:r>
          </w:p>
        </w:tc>
        <w:tc>
          <w:tcPr>
            <w:tcW w:w="567" w:type="dxa"/>
            <w:tcBorders>
              <w:top w:val="single" w:sz="4" w:space="0" w:color="auto"/>
              <w:left w:val="single" w:sz="18" w:space="0" w:color="auto"/>
              <w:bottom w:val="single" w:sz="4" w:space="0" w:color="auto"/>
              <w:right w:val="single" w:sz="18" w:space="0" w:color="auto"/>
            </w:tcBorders>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1,63</w:t>
            </w:r>
          </w:p>
        </w:tc>
        <w:tc>
          <w:tcPr>
            <w:tcW w:w="709" w:type="dxa"/>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1,63</w:t>
            </w:r>
          </w:p>
        </w:tc>
      </w:tr>
      <w:tr w:rsidR="003D0D39" w:rsidRPr="003D0D39" w:rsidTr="004B60A4">
        <w:trPr>
          <w:trHeight w:val="264"/>
        </w:trPr>
        <w:tc>
          <w:tcPr>
            <w:tcW w:w="769" w:type="dxa"/>
            <w:tcBorders>
              <w:top w:val="single" w:sz="4" w:space="0" w:color="auto"/>
              <w:left w:val="single" w:sz="18" w:space="0" w:color="auto"/>
              <w:bottom w:val="single" w:sz="4" w:space="0" w:color="auto"/>
              <w:right w:val="single" w:sz="4" w:space="0" w:color="auto"/>
            </w:tcBorders>
          </w:tcPr>
          <w:p w:rsidR="003D0D39" w:rsidRPr="003D0D39" w:rsidRDefault="003D0D39" w:rsidP="003D0D39">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3)</w:t>
            </w:r>
          </w:p>
        </w:tc>
        <w:tc>
          <w:tcPr>
            <w:tcW w:w="522" w:type="dxa"/>
            <w:tcBorders>
              <w:top w:val="single" w:sz="4" w:space="0" w:color="auto"/>
              <w:left w:val="single" w:sz="4" w:space="0" w:color="auto"/>
              <w:bottom w:val="single" w:sz="4" w:space="0" w:color="auto"/>
              <w:right w:val="single" w:sz="18" w:space="0" w:color="auto"/>
            </w:tcBorders>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w:t>
            </w:r>
          </w:p>
        </w:tc>
        <w:tc>
          <w:tcPr>
            <w:tcW w:w="2313" w:type="dxa"/>
            <w:gridSpan w:val="5"/>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43,32</w:t>
            </w:r>
          </w:p>
        </w:tc>
        <w:tc>
          <w:tcPr>
            <w:tcW w:w="567" w:type="dxa"/>
            <w:tcBorders>
              <w:top w:val="single" w:sz="4" w:space="0" w:color="auto"/>
              <w:left w:val="single" w:sz="18" w:space="0" w:color="auto"/>
              <w:bottom w:val="single" w:sz="4" w:space="0" w:color="auto"/>
              <w:right w:val="single" w:sz="18" w:space="0" w:color="auto"/>
            </w:tcBorders>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1,63</w:t>
            </w:r>
          </w:p>
        </w:tc>
        <w:tc>
          <w:tcPr>
            <w:tcW w:w="709" w:type="dxa"/>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1,63</w:t>
            </w:r>
          </w:p>
        </w:tc>
      </w:tr>
      <w:tr w:rsidR="003D0D39" w:rsidRPr="003D0D39" w:rsidTr="004B60A4">
        <w:trPr>
          <w:trHeight w:val="282"/>
        </w:trPr>
        <w:tc>
          <w:tcPr>
            <w:tcW w:w="769" w:type="dxa"/>
            <w:tcBorders>
              <w:top w:val="single" w:sz="4" w:space="0" w:color="auto"/>
              <w:left w:val="single" w:sz="18" w:space="0" w:color="auto"/>
              <w:bottom w:val="single" w:sz="4" w:space="0" w:color="auto"/>
              <w:right w:val="single" w:sz="4" w:space="0" w:color="auto"/>
            </w:tcBorders>
          </w:tcPr>
          <w:p w:rsidR="003D0D39" w:rsidRPr="003D0D39" w:rsidRDefault="003D0D39" w:rsidP="003D0D39">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4)</w:t>
            </w:r>
          </w:p>
        </w:tc>
        <w:tc>
          <w:tcPr>
            <w:tcW w:w="522" w:type="dxa"/>
            <w:tcBorders>
              <w:top w:val="single" w:sz="4" w:space="0" w:color="auto"/>
              <w:left w:val="single" w:sz="4" w:space="0" w:color="auto"/>
              <w:bottom w:val="single" w:sz="4" w:space="0" w:color="auto"/>
              <w:right w:val="single" w:sz="18" w:space="0" w:color="auto"/>
            </w:tcBorders>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w:t>
            </w:r>
          </w:p>
        </w:tc>
        <w:tc>
          <w:tcPr>
            <w:tcW w:w="1179" w:type="dxa"/>
            <w:gridSpan w:val="3"/>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9,77</w:t>
            </w:r>
          </w:p>
        </w:tc>
        <w:tc>
          <w:tcPr>
            <w:tcW w:w="1701" w:type="dxa"/>
            <w:gridSpan w:val="3"/>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35,17</w:t>
            </w:r>
          </w:p>
        </w:tc>
        <w:tc>
          <w:tcPr>
            <w:tcW w:w="709" w:type="dxa"/>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1,63</w:t>
            </w:r>
          </w:p>
        </w:tc>
      </w:tr>
      <w:tr w:rsidR="003D0D39" w:rsidRPr="003D0D39" w:rsidTr="004B60A4">
        <w:trPr>
          <w:trHeight w:val="272"/>
        </w:trPr>
        <w:tc>
          <w:tcPr>
            <w:tcW w:w="769" w:type="dxa"/>
            <w:tcBorders>
              <w:top w:val="single" w:sz="4" w:space="0" w:color="auto"/>
              <w:left w:val="single" w:sz="18" w:space="0" w:color="auto"/>
              <w:bottom w:val="single" w:sz="4" w:space="0" w:color="auto"/>
              <w:right w:val="single" w:sz="4" w:space="0" w:color="auto"/>
            </w:tcBorders>
          </w:tcPr>
          <w:p w:rsidR="003D0D39" w:rsidRPr="003D0D39" w:rsidRDefault="003D0D39" w:rsidP="003D0D39">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5)</w:t>
            </w:r>
          </w:p>
        </w:tc>
        <w:tc>
          <w:tcPr>
            <w:tcW w:w="522" w:type="dxa"/>
            <w:tcBorders>
              <w:top w:val="single" w:sz="4" w:space="0" w:color="auto"/>
              <w:left w:val="single" w:sz="4" w:space="0" w:color="auto"/>
              <w:bottom w:val="single" w:sz="4" w:space="0" w:color="auto"/>
              <w:right w:val="single" w:sz="18" w:space="0" w:color="auto"/>
            </w:tcBorders>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w:t>
            </w:r>
          </w:p>
        </w:tc>
        <w:tc>
          <w:tcPr>
            <w:tcW w:w="2880" w:type="dxa"/>
            <w:gridSpan w:val="6"/>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44,95</w:t>
            </w:r>
          </w:p>
        </w:tc>
        <w:tc>
          <w:tcPr>
            <w:tcW w:w="709" w:type="dxa"/>
            <w:tcBorders>
              <w:top w:val="single" w:sz="4" w:space="0" w:color="auto"/>
              <w:left w:val="single" w:sz="18" w:space="0" w:color="auto"/>
              <w:bottom w:val="single" w:sz="4" w:space="0" w:color="auto"/>
              <w:right w:val="single" w:sz="18" w:space="0" w:color="auto"/>
            </w:tcBorders>
            <w:shd w:val="clear" w:color="auto" w:fill="auto"/>
          </w:tcPr>
          <w:p w:rsidR="003D0D39" w:rsidRPr="003D0D39" w:rsidRDefault="00830E45" w:rsidP="004B60A4">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1,63</w:t>
            </w:r>
          </w:p>
        </w:tc>
      </w:tr>
      <w:tr w:rsidR="003D0D39" w:rsidRPr="003D0D39" w:rsidTr="004B60A4">
        <w:trPr>
          <w:trHeight w:val="276"/>
        </w:trPr>
        <w:tc>
          <w:tcPr>
            <w:tcW w:w="769" w:type="dxa"/>
            <w:tcBorders>
              <w:top w:val="single" w:sz="4" w:space="0" w:color="auto"/>
              <w:left w:val="single" w:sz="18" w:space="0" w:color="auto"/>
              <w:bottom w:val="single" w:sz="18" w:space="0" w:color="auto"/>
              <w:right w:val="single" w:sz="4" w:space="0" w:color="auto"/>
            </w:tcBorders>
          </w:tcPr>
          <w:p w:rsidR="003D0D39" w:rsidRPr="003D0D39" w:rsidRDefault="003D0D39" w:rsidP="003D0D39">
            <w:pPr>
              <w:jc w:val="center"/>
              <w:rPr>
                <w:rFonts w:ascii="Times New Roman" w:eastAsia="Times New Roman" w:hAnsi="Times New Roman" w:cs="Times New Roman"/>
                <w:b/>
                <w:bCs/>
                <w:sz w:val="16"/>
                <w:szCs w:val="16"/>
                <w:lang w:eastAsia="hu-HU"/>
              </w:rPr>
            </w:pPr>
            <w:r>
              <w:rPr>
                <w:rFonts w:ascii="Times New Roman" w:eastAsia="Times New Roman" w:hAnsi="Times New Roman" w:cs="Times New Roman"/>
                <w:b/>
                <w:bCs/>
                <w:sz w:val="16"/>
                <w:szCs w:val="16"/>
                <w:lang w:eastAsia="hu-HU"/>
              </w:rPr>
              <w:t>6</w:t>
            </w:r>
            <w:r w:rsidRPr="003D0D39">
              <w:rPr>
                <w:rFonts w:ascii="Times New Roman" w:eastAsia="Times New Roman" w:hAnsi="Times New Roman" w:cs="Times New Roman"/>
                <w:b/>
                <w:bCs/>
                <w:sz w:val="16"/>
                <w:szCs w:val="16"/>
                <w:lang w:eastAsia="hu-HU"/>
              </w:rPr>
              <w:t>)</w:t>
            </w:r>
          </w:p>
        </w:tc>
        <w:tc>
          <w:tcPr>
            <w:tcW w:w="522" w:type="dxa"/>
            <w:tcBorders>
              <w:top w:val="single" w:sz="4" w:space="0" w:color="auto"/>
              <w:left w:val="single" w:sz="4" w:space="0" w:color="auto"/>
              <w:bottom w:val="single" w:sz="18" w:space="0" w:color="auto"/>
              <w:right w:val="single" w:sz="18" w:space="0" w:color="auto"/>
            </w:tcBorders>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w:t>
            </w:r>
          </w:p>
        </w:tc>
        <w:tc>
          <w:tcPr>
            <w:tcW w:w="3589" w:type="dxa"/>
            <w:gridSpan w:val="7"/>
            <w:tcBorders>
              <w:top w:val="single" w:sz="4" w:space="0" w:color="auto"/>
              <w:left w:val="single" w:sz="18" w:space="0" w:color="auto"/>
              <w:bottom w:val="single" w:sz="18" w:space="0" w:color="auto"/>
              <w:right w:val="single" w:sz="18" w:space="0" w:color="auto"/>
            </w:tcBorders>
            <w:shd w:val="clear" w:color="auto" w:fill="auto"/>
          </w:tcPr>
          <w:p w:rsidR="003D0D39" w:rsidRPr="003D0D39" w:rsidRDefault="003D0D39" w:rsidP="004B60A4">
            <w:pPr>
              <w:jc w:val="center"/>
              <w:rPr>
                <w:rFonts w:ascii="Times New Roman" w:eastAsia="Times New Roman" w:hAnsi="Times New Roman" w:cs="Times New Roman"/>
                <w:b/>
                <w:bCs/>
                <w:sz w:val="16"/>
                <w:szCs w:val="16"/>
                <w:lang w:eastAsia="hu-HU"/>
              </w:rPr>
            </w:pPr>
            <w:r w:rsidRPr="003D0D39">
              <w:rPr>
                <w:rFonts w:ascii="Times New Roman" w:eastAsia="Times New Roman" w:hAnsi="Times New Roman" w:cs="Times New Roman"/>
                <w:b/>
                <w:bCs/>
                <w:sz w:val="16"/>
                <w:szCs w:val="16"/>
                <w:lang w:eastAsia="hu-HU"/>
              </w:rPr>
              <w:t>46,57</w:t>
            </w:r>
          </w:p>
        </w:tc>
      </w:tr>
    </w:tbl>
    <w:p w:rsidR="00C64275" w:rsidRPr="00024623" w:rsidRDefault="00C64275" w:rsidP="00024623">
      <w:pPr>
        <w:autoSpaceDE w:val="0"/>
        <w:autoSpaceDN w:val="0"/>
        <w:adjustRightInd w:val="0"/>
        <w:rPr>
          <w:rFonts w:ascii="Times New Roman" w:hAnsi="Times New Roman" w:cs="Times New Roman"/>
        </w:rPr>
      </w:pPr>
    </w:p>
    <w:p w:rsidR="00C84A46" w:rsidRDefault="00C84A46" w:rsidP="00C84A46">
      <w:pPr>
        <w:autoSpaceDE w:val="0"/>
        <w:autoSpaceDN w:val="0"/>
        <w:adjustRightInd w:val="0"/>
        <w:ind w:left="360"/>
        <w:rPr>
          <w:rFonts w:ascii="Times New Roman" w:hAnsi="Times New Roman" w:cs="Times New Roman"/>
          <w:b/>
        </w:rPr>
      </w:pPr>
      <w:r w:rsidRPr="003D0D39">
        <w:rPr>
          <w:rFonts w:ascii="Times New Roman" w:hAnsi="Times New Roman" w:cs="Times New Roman"/>
          <w:b/>
        </w:rPr>
        <w:t xml:space="preserve">Magyarázat: </w:t>
      </w:r>
    </w:p>
    <w:p w:rsidR="00CB4389" w:rsidRDefault="00CB4389" w:rsidP="00C84A46">
      <w:pPr>
        <w:autoSpaceDE w:val="0"/>
        <w:autoSpaceDN w:val="0"/>
        <w:adjustRightInd w:val="0"/>
        <w:ind w:left="360"/>
        <w:rPr>
          <w:rFonts w:ascii="Times New Roman" w:hAnsi="Times New Roman" w:cs="Times New Roman"/>
          <w:b/>
        </w:rPr>
      </w:pPr>
    </w:p>
    <w:p w:rsidR="00C84A46" w:rsidRPr="00C84A46" w:rsidRDefault="00C84A46" w:rsidP="00C84A46">
      <w:pPr>
        <w:autoSpaceDE w:val="0"/>
        <w:autoSpaceDN w:val="0"/>
        <w:adjustRightInd w:val="0"/>
        <w:ind w:left="708"/>
        <w:contextualSpacing/>
        <w:rPr>
          <w:rFonts w:ascii="Times New Roman" w:hAnsi="Times New Roman" w:cs="Times New Roman"/>
          <w:b/>
          <w:sz w:val="20"/>
          <w:szCs w:val="20"/>
        </w:rPr>
      </w:pPr>
      <w:r w:rsidRPr="00C84A46">
        <w:rPr>
          <w:rFonts w:ascii="Times New Roman" w:hAnsi="Times New Roman" w:cs="Times New Roman"/>
          <w:b/>
          <w:sz w:val="20"/>
          <w:szCs w:val="20"/>
        </w:rPr>
        <w:t>A G – H kategóriák értelemszerűen csak a teljes befejezések esetében merülhetnek fel.</w:t>
      </w:r>
    </w:p>
    <w:p w:rsidR="00C84A46" w:rsidRPr="003D0D39" w:rsidRDefault="00C84A46" w:rsidP="00C84A46">
      <w:pPr>
        <w:autoSpaceDE w:val="0"/>
        <w:autoSpaceDN w:val="0"/>
        <w:adjustRightInd w:val="0"/>
        <w:ind w:left="708"/>
        <w:contextualSpacing/>
        <w:rPr>
          <w:rFonts w:ascii="Times New Roman" w:hAnsi="Times New Roman" w:cs="Times New Roman"/>
          <w:i/>
          <w:sz w:val="20"/>
          <w:szCs w:val="20"/>
        </w:rPr>
      </w:pPr>
      <w:r w:rsidRPr="00C84A46">
        <w:rPr>
          <w:rFonts w:ascii="Times New Roman" w:hAnsi="Times New Roman" w:cs="Times New Roman"/>
          <w:sz w:val="20"/>
          <w:szCs w:val="20"/>
        </w:rPr>
        <w:t xml:space="preserve">A „megszüntetéseket” mi itt valamennyi olyan esetre értjük, amikor nem </w:t>
      </w:r>
      <w:r w:rsidRPr="00C84A46">
        <w:rPr>
          <w:rFonts w:ascii="Times New Roman" w:hAnsi="Times New Roman" w:cs="Times New Roman"/>
          <w:i/>
          <w:sz w:val="20"/>
          <w:szCs w:val="20"/>
        </w:rPr>
        <w:t>határozatot hoz</w:t>
      </w:r>
      <w:r>
        <w:rPr>
          <w:rFonts w:ascii="Times New Roman" w:hAnsi="Times New Roman" w:cs="Times New Roman"/>
          <w:i/>
          <w:sz w:val="20"/>
          <w:szCs w:val="20"/>
        </w:rPr>
        <w:t>t</w:t>
      </w:r>
      <w:r w:rsidRPr="00C84A46">
        <w:rPr>
          <w:rFonts w:ascii="Times New Roman" w:hAnsi="Times New Roman" w:cs="Times New Roman"/>
          <w:i/>
          <w:sz w:val="20"/>
          <w:szCs w:val="20"/>
        </w:rPr>
        <w:t>unk,</w:t>
      </w:r>
      <w:r>
        <w:rPr>
          <w:rFonts w:ascii="Times New Roman" w:hAnsi="Times New Roman" w:cs="Times New Roman"/>
          <w:i/>
          <w:sz w:val="20"/>
          <w:szCs w:val="20"/>
        </w:rPr>
        <w:t xml:space="preserve"> vagy ajánlást tett</w:t>
      </w:r>
      <w:r w:rsidRPr="00C84A46">
        <w:rPr>
          <w:rFonts w:ascii="Times New Roman" w:hAnsi="Times New Roman" w:cs="Times New Roman"/>
          <w:i/>
          <w:sz w:val="20"/>
          <w:szCs w:val="20"/>
        </w:rPr>
        <w:t xml:space="preserve">ünk,  hanem döntést </w:t>
      </w:r>
      <w:r>
        <w:rPr>
          <w:rFonts w:ascii="Times New Roman" w:hAnsi="Times New Roman" w:cs="Times New Roman"/>
          <w:i/>
          <w:sz w:val="20"/>
          <w:szCs w:val="20"/>
        </w:rPr>
        <w:t xml:space="preserve">(elutasítás, megszüntetés) </w:t>
      </w:r>
      <w:r w:rsidRPr="00C84A46">
        <w:rPr>
          <w:rFonts w:ascii="Times New Roman" w:hAnsi="Times New Roman" w:cs="Times New Roman"/>
          <w:i/>
          <w:sz w:val="20"/>
          <w:szCs w:val="20"/>
        </w:rPr>
        <w:t>hoz</w:t>
      </w:r>
      <w:r>
        <w:rPr>
          <w:rFonts w:ascii="Times New Roman" w:hAnsi="Times New Roman" w:cs="Times New Roman"/>
          <w:i/>
          <w:sz w:val="20"/>
          <w:szCs w:val="20"/>
        </w:rPr>
        <w:t>t</w:t>
      </w:r>
      <w:r w:rsidRPr="00C84A46">
        <w:rPr>
          <w:rFonts w:ascii="Times New Roman" w:hAnsi="Times New Roman" w:cs="Times New Roman"/>
          <w:i/>
          <w:sz w:val="20"/>
          <w:szCs w:val="20"/>
        </w:rPr>
        <w:t>unk.</w:t>
      </w:r>
    </w:p>
    <w:p w:rsidR="003D0D39" w:rsidRPr="003D0D39" w:rsidRDefault="003D0D39" w:rsidP="003D0D39">
      <w:pPr>
        <w:pStyle w:val="Listaszerbekezds"/>
        <w:numPr>
          <w:ilvl w:val="0"/>
          <w:numId w:val="4"/>
        </w:numPr>
        <w:autoSpaceDE w:val="0"/>
        <w:autoSpaceDN w:val="0"/>
        <w:adjustRightInd w:val="0"/>
        <w:rPr>
          <w:rFonts w:ascii="Times New Roman" w:hAnsi="Times New Roman" w:cs="Times New Roman"/>
          <w:b/>
          <w:sz w:val="20"/>
          <w:szCs w:val="20"/>
        </w:rPr>
      </w:pPr>
      <w:r w:rsidRPr="003D0D39">
        <w:rPr>
          <w:rFonts w:ascii="Times New Roman" w:hAnsi="Times New Roman" w:cs="Times New Roman"/>
          <w:b/>
          <w:sz w:val="20"/>
          <w:szCs w:val="20"/>
        </w:rPr>
        <w:t xml:space="preserve">az egyes döntési „fajták” </w:t>
      </w:r>
      <w:r w:rsidR="00C64275" w:rsidRPr="004C6067">
        <w:rPr>
          <w:rFonts w:ascii="Times New Roman" w:hAnsi="Times New Roman" w:cs="Times New Roman"/>
          <w:b/>
          <w:sz w:val="20"/>
          <w:szCs w:val="20"/>
        </w:rPr>
        <w:t>a teljes befejezések arányában</w:t>
      </w:r>
      <w:r w:rsidR="00C64275">
        <w:rPr>
          <w:rFonts w:ascii="Times New Roman" w:hAnsi="Times New Roman" w:cs="Times New Roman"/>
          <w:b/>
          <w:sz w:val="20"/>
          <w:szCs w:val="20"/>
        </w:rPr>
        <w:t xml:space="preserve"> (A – H), illetve </w:t>
      </w:r>
      <w:r w:rsidRPr="003D0D39">
        <w:rPr>
          <w:rFonts w:ascii="Times New Roman" w:hAnsi="Times New Roman" w:cs="Times New Roman"/>
          <w:b/>
          <w:sz w:val="20"/>
          <w:szCs w:val="20"/>
        </w:rPr>
        <w:t>a Veszprémben történt befejezések arányában (A – F)</w:t>
      </w:r>
    </w:p>
    <w:p w:rsidR="003D0D39" w:rsidRPr="003D0D39" w:rsidRDefault="003D0D39" w:rsidP="003D0D39">
      <w:pPr>
        <w:numPr>
          <w:ilvl w:val="0"/>
          <w:numId w:val="4"/>
        </w:numPr>
        <w:autoSpaceDE w:val="0"/>
        <w:autoSpaceDN w:val="0"/>
        <w:adjustRightInd w:val="0"/>
        <w:contextualSpacing/>
        <w:rPr>
          <w:rFonts w:ascii="Times New Roman" w:hAnsi="Times New Roman" w:cs="Times New Roman"/>
          <w:sz w:val="20"/>
          <w:szCs w:val="20"/>
        </w:rPr>
      </w:pPr>
      <w:r w:rsidRPr="003D0D39">
        <w:rPr>
          <w:rFonts w:ascii="Times New Roman" w:hAnsi="Times New Roman" w:cs="Times New Roman"/>
          <w:b/>
          <w:sz w:val="20"/>
          <w:szCs w:val="20"/>
        </w:rPr>
        <w:t>összevonható kategóriák [</w:t>
      </w:r>
      <w:r w:rsidRPr="003D0D39">
        <w:rPr>
          <w:rFonts w:ascii="Times New Roman" w:hAnsi="Times New Roman" w:cs="Times New Roman"/>
          <w:sz w:val="20"/>
          <w:szCs w:val="20"/>
        </w:rPr>
        <w:t xml:space="preserve">31. § (3) a) és b) pontjai, mint </w:t>
      </w:r>
      <w:r w:rsidRPr="003D0D39">
        <w:rPr>
          <w:rFonts w:ascii="Times New Roman" w:hAnsi="Times New Roman" w:cs="Times New Roman"/>
          <w:b/>
          <w:i/>
          <w:sz w:val="20"/>
          <w:szCs w:val="20"/>
        </w:rPr>
        <w:t>pozitív döntések</w:t>
      </w:r>
      <w:r w:rsidRPr="003D0D39">
        <w:rPr>
          <w:rFonts w:ascii="Times New Roman" w:hAnsi="Times New Roman" w:cs="Times New Roman"/>
          <w:sz w:val="20"/>
          <w:szCs w:val="20"/>
        </w:rPr>
        <w:t xml:space="preserve"> </w:t>
      </w:r>
      <w:r w:rsidR="006E0817">
        <w:rPr>
          <w:rFonts w:ascii="Times New Roman" w:hAnsi="Times New Roman" w:cs="Times New Roman"/>
          <w:b/>
          <w:sz w:val="20"/>
          <w:szCs w:val="20"/>
        </w:rPr>
        <w:t>(A – B</w:t>
      </w:r>
      <w:r w:rsidRPr="003D0D39">
        <w:rPr>
          <w:rFonts w:ascii="Times New Roman" w:hAnsi="Times New Roman" w:cs="Times New Roman"/>
          <w:b/>
          <w:sz w:val="20"/>
          <w:szCs w:val="20"/>
        </w:rPr>
        <w:t xml:space="preserve">);   </w:t>
      </w:r>
      <w:r w:rsidRPr="003D0D39">
        <w:rPr>
          <w:rFonts w:ascii="Times New Roman" w:hAnsi="Times New Roman" w:cs="Times New Roman"/>
          <w:b/>
          <w:i/>
          <w:sz w:val="20"/>
          <w:szCs w:val="20"/>
        </w:rPr>
        <w:t xml:space="preserve">a fogyasztóra nézve negatív döntések: 31. § (3) </w:t>
      </w:r>
      <w:r w:rsidRPr="003D0D39">
        <w:rPr>
          <w:rFonts w:ascii="Times New Roman" w:hAnsi="Times New Roman" w:cs="Times New Roman"/>
          <w:i/>
          <w:sz w:val="20"/>
          <w:szCs w:val="20"/>
        </w:rPr>
        <w:t>c</w:t>
      </w:r>
      <w:r w:rsidRPr="003D0D39">
        <w:rPr>
          <w:rFonts w:ascii="Times New Roman" w:hAnsi="Times New Roman" w:cs="Times New Roman"/>
          <w:sz w:val="20"/>
          <w:szCs w:val="20"/>
        </w:rPr>
        <w:t>) és d) pontjai (</w:t>
      </w:r>
      <w:r w:rsidR="006E0817">
        <w:rPr>
          <w:rFonts w:ascii="Times New Roman" w:hAnsi="Times New Roman" w:cs="Times New Roman"/>
          <w:b/>
          <w:sz w:val="20"/>
          <w:szCs w:val="20"/>
        </w:rPr>
        <w:t>C – D</w:t>
      </w:r>
      <w:r w:rsidRPr="003D0D39">
        <w:rPr>
          <w:rFonts w:ascii="Times New Roman" w:hAnsi="Times New Roman" w:cs="Times New Roman"/>
          <w:b/>
          <w:sz w:val="20"/>
          <w:szCs w:val="20"/>
        </w:rPr>
        <w:t xml:space="preserve">, </w:t>
      </w:r>
      <w:r w:rsidR="006E0817">
        <w:rPr>
          <w:rFonts w:ascii="Times New Roman" w:hAnsi="Times New Roman" w:cs="Times New Roman"/>
          <w:b/>
          <w:sz w:val="20"/>
          <w:szCs w:val="20"/>
        </w:rPr>
        <w:t xml:space="preserve">E </w:t>
      </w:r>
      <w:r w:rsidRPr="003D0D39">
        <w:rPr>
          <w:rFonts w:ascii="Times New Roman" w:hAnsi="Times New Roman" w:cs="Times New Roman"/>
          <w:sz w:val="20"/>
          <w:szCs w:val="20"/>
        </w:rPr>
        <w:t xml:space="preserve">); a 32/A § </w:t>
      </w:r>
      <w:r w:rsidR="006E0817">
        <w:rPr>
          <w:rFonts w:ascii="Times New Roman" w:hAnsi="Times New Roman" w:cs="Times New Roman"/>
          <w:b/>
          <w:sz w:val="20"/>
          <w:szCs w:val="20"/>
        </w:rPr>
        <w:t>(F</w:t>
      </w:r>
      <w:r w:rsidRPr="003D0D39">
        <w:rPr>
          <w:rFonts w:ascii="Times New Roman" w:hAnsi="Times New Roman" w:cs="Times New Roman"/>
          <w:b/>
          <w:sz w:val="20"/>
          <w:szCs w:val="20"/>
        </w:rPr>
        <w:t>)</w:t>
      </w:r>
      <w:r w:rsidR="00C84A46">
        <w:rPr>
          <w:rFonts w:ascii="Times New Roman" w:hAnsi="Times New Roman" w:cs="Times New Roman"/>
          <w:b/>
          <w:sz w:val="20"/>
          <w:szCs w:val="20"/>
        </w:rPr>
        <w:t xml:space="preserve"> </w:t>
      </w:r>
    </w:p>
    <w:p w:rsidR="003D0D39" w:rsidRPr="003D0D39" w:rsidRDefault="003D0D39" w:rsidP="003D0D39">
      <w:pPr>
        <w:numPr>
          <w:ilvl w:val="0"/>
          <w:numId w:val="4"/>
        </w:numPr>
        <w:autoSpaceDE w:val="0"/>
        <w:autoSpaceDN w:val="0"/>
        <w:adjustRightInd w:val="0"/>
        <w:contextualSpacing/>
        <w:rPr>
          <w:rFonts w:ascii="Times New Roman" w:hAnsi="Times New Roman" w:cs="Times New Roman"/>
          <w:sz w:val="20"/>
          <w:szCs w:val="20"/>
        </w:rPr>
      </w:pPr>
      <w:r w:rsidRPr="003D0D39">
        <w:rPr>
          <w:rFonts w:ascii="Times New Roman" w:hAnsi="Times New Roman" w:cs="Times New Roman"/>
          <w:b/>
          <w:sz w:val="20"/>
          <w:szCs w:val="20"/>
        </w:rPr>
        <w:t>a 31. § (3) bekezdése alapján történt megszüntetések összevonása</w:t>
      </w:r>
      <w:r w:rsidR="006E0817">
        <w:rPr>
          <w:rFonts w:ascii="Times New Roman" w:hAnsi="Times New Roman" w:cs="Times New Roman"/>
          <w:b/>
          <w:sz w:val="20"/>
          <w:szCs w:val="20"/>
        </w:rPr>
        <w:t xml:space="preserve"> (A-D</w:t>
      </w:r>
      <w:r w:rsidRPr="003D0D39">
        <w:rPr>
          <w:rFonts w:ascii="Times New Roman" w:hAnsi="Times New Roman" w:cs="Times New Roman"/>
          <w:b/>
          <w:sz w:val="20"/>
          <w:szCs w:val="20"/>
        </w:rPr>
        <w:t>),</w:t>
      </w:r>
      <w:r w:rsidR="006E0817">
        <w:rPr>
          <w:rFonts w:ascii="Times New Roman" w:hAnsi="Times New Roman" w:cs="Times New Roman"/>
          <w:b/>
          <w:sz w:val="20"/>
          <w:szCs w:val="20"/>
        </w:rPr>
        <w:t xml:space="preserve"> illetve (E és F</w:t>
      </w:r>
      <w:r w:rsidRPr="003D0D39">
        <w:rPr>
          <w:rFonts w:ascii="Times New Roman" w:hAnsi="Times New Roman" w:cs="Times New Roman"/>
          <w:b/>
          <w:sz w:val="20"/>
          <w:szCs w:val="20"/>
        </w:rPr>
        <w:t>)</w:t>
      </w:r>
    </w:p>
    <w:p w:rsidR="003D0D39" w:rsidRPr="003D0D39" w:rsidRDefault="003D0D39" w:rsidP="003D0D39">
      <w:pPr>
        <w:numPr>
          <w:ilvl w:val="0"/>
          <w:numId w:val="4"/>
        </w:numPr>
        <w:autoSpaceDE w:val="0"/>
        <w:autoSpaceDN w:val="0"/>
        <w:adjustRightInd w:val="0"/>
        <w:contextualSpacing/>
        <w:rPr>
          <w:rFonts w:ascii="Times New Roman" w:hAnsi="Times New Roman" w:cs="Times New Roman"/>
          <w:sz w:val="20"/>
          <w:szCs w:val="20"/>
        </w:rPr>
      </w:pPr>
      <w:r w:rsidRPr="003D0D39">
        <w:rPr>
          <w:rFonts w:ascii="Times New Roman" w:hAnsi="Times New Roman" w:cs="Times New Roman"/>
          <w:b/>
          <w:sz w:val="20"/>
          <w:szCs w:val="20"/>
        </w:rPr>
        <w:t>pozitív megszüntetése</w:t>
      </w:r>
      <w:r w:rsidR="006E0817">
        <w:rPr>
          <w:rFonts w:ascii="Times New Roman" w:hAnsi="Times New Roman" w:cs="Times New Roman"/>
          <w:b/>
          <w:sz w:val="20"/>
          <w:szCs w:val="20"/>
        </w:rPr>
        <w:t>k [31. § (3) a) és b) pontjai (A-B )</w:t>
      </w:r>
      <w:r w:rsidRPr="003D0D39">
        <w:rPr>
          <w:rFonts w:ascii="Times New Roman" w:hAnsi="Times New Roman" w:cs="Times New Roman"/>
          <w:b/>
          <w:sz w:val="20"/>
          <w:szCs w:val="20"/>
        </w:rPr>
        <w:t>; megszünt</w:t>
      </w:r>
      <w:r w:rsidR="006E0817">
        <w:rPr>
          <w:rFonts w:ascii="Times New Roman" w:hAnsi="Times New Roman" w:cs="Times New Roman"/>
          <w:b/>
          <w:sz w:val="20"/>
          <w:szCs w:val="20"/>
        </w:rPr>
        <w:t>etések (C-E</w:t>
      </w:r>
      <w:r w:rsidRPr="003D0D39">
        <w:rPr>
          <w:rFonts w:ascii="Times New Roman" w:hAnsi="Times New Roman" w:cs="Times New Roman"/>
          <w:b/>
          <w:sz w:val="20"/>
          <w:szCs w:val="20"/>
        </w:rPr>
        <w:t>) , elutasítás</w:t>
      </w:r>
      <w:r w:rsidR="006E0817">
        <w:rPr>
          <w:rFonts w:ascii="Times New Roman" w:hAnsi="Times New Roman" w:cs="Times New Roman"/>
          <w:b/>
          <w:sz w:val="20"/>
          <w:szCs w:val="20"/>
        </w:rPr>
        <w:t xml:space="preserve"> (F</w:t>
      </w:r>
      <w:r w:rsidRPr="003D0D39">
        <w:rPr>
          <w:rFonts w:ascii="Times New Roman" w:hAnsi="Times New Roman" w:cs="Times New Roman"/>
          <w:b/>
          <w:sz w:val="20"/>
          <w:szCs w:val="20"/>
        </w:rPr>
        <w:t xml:space="preserve">), </w:t>
      </w:r>
    </w:p>
    <w:p w:rsidR="003D0D39" w:rsidRPr="003D0D39" w:rsidRDefault="003D0D39" w:rsidP="003D0D39">
      <w:pPr>
        <w:numPr>
          <w:ilvl w:val="0"/>
          <w:numId w:val="4"/>
        </w:numPr>
        <w:autoSpaceDE w:val="0"/>
        <w:autoSpaceDN w:val="0"/>
        <w:adjustRightInd w:val="0"/>
        <w:contextualSpacing/>
        <w:rPr>
          <w:rFonts w:ascii="Times New Roman" w:hAnsi="Times New Roman" w:cs="Times New Roman"/>
          <w:sz w:val="20"/>
          <w:szCs w:val="20"/>
        </w:rPr>
      </w:pPr>
      <w:r w:rsidRPr="003D0D39">
        <w:rPr>
          <w:rFonts w:ascii="Times New Roman" w:hAnsi="Times New Roman" w:cs="Times New Roman"/>
          <w:sz w:val="20"/>
          <w:szCs w:val="20"/>
        </w:rPr>
        <w:t xml:space="preserve">megszüntetések </w:t>
      </w:r>
      <w:r w:rsidR="006E0817">
        <w:rPr>
          <w:rFonts w:ascii="Times New Roman" w:hAnsi="Times New Roman" w:cs="Times New Roman"/>
          <w:b/>
          <w:sz w:val="20"/>
          <w:szCs w:val="20"/>
        </w:rPr>
        <w:t>(A-E</w:t>
      </w:r>
      <w:r w:rsidRPr="003D0D39">
        <w:rPr>
          <w:rFonts w:ascii="Times New Roman" w:hAnsi="Times New Roman" w:cs="Times New Roman"/>
          <w:b/>
          <w:sz w:val="20"/>
          <w:szCs w:val="20"/>
        </w:rPr>
        <w:t>)</w:t>
      </w:r>
      <w:r w:rsidRPr="003D0D39">
        <w:rPr>
          <w:rFonts w:ascii="Times New Roman" w:hAnsi="Times New Roman" w:cs="Times New Roman"/>
          <w:sz w:val="20"/>
          <w:szCs w:val="20"/>
        </w:rPr>
        <w:t xml:space="preserve"> összesen (a; elutasítás </w:t>
      </w:r>
      <w:r w:rsidR="006E0817">
        <w:rPr>
          <w:rFonts w:ascii="Times New Roman" w:hAnsi="Times New Roman" w:cs="Times New Roman"/>
          <w:b/>
          <w:sz w:val="20"/>
          <w:szCs w:val="20"/>
        </w:rPr>
        <w:t>(F</w:t>
      </w:r>
      <w:r w:rsidRPr="003D0D39">
        <w:rPr>
          <w:rFonts w:ascii="Times New Roman" w:hAnsi="Times New Roman" w:cs="Times New Roman"/>
          <w:b/>
          <w:sz w:val="20"/>
          <w:szCs w:val="20"/>
        </w:rPr>
        <w:t>),</w:t>
      </w:r>
    </w:p>
    <w:p w:rsidR="003D0D39" w:rsidRPr="006E0817" w:rsidRDefault="003D0D39" w:rsidP="003D0D39">
      <w:pPr>
        <w:numPr>
          <w:ilvl w:val="0"/>
          <w:numId w:val="4"/>
        </w:numPr>
        <w:autoSpaceDE w:val="0"/>
        <w:autoSpaceDN w:val="0"/>
        <w:adjustRightInd w:val="0"/>
        <w:contextualSpacing/>
        <w:rPr>
          <w:rFonts w:ascii="Times New Roman" w:hAnsi="Times New Roman" w:cs="Times New Roman"/>
          <w:sz w:val="20"/>
          <w:szCs w:val="20"/>
        </w:rPr>
      </w:pPr>
      <w:r w:rsidRPr="003D0D39">
        <w:rPr>
          <w:rFonts w:ascii="Times New Roman" w:hAnsi="Times New Roman" w:cs="Times New Roman"/>
          <w:b/>
          <w:sz w:val="20"/>
          <w:szCs w:val="20"/>
        </w:rPr>
        <w:t>megszüntetések</w:t>
      </w:r>
      <w:r w:rsidR="006E0817">
        <w:rPr>
          <w:rFonts w:ascii="Times New Roman" w:hAnsi="Times New Roman" w:cs="Times New Roman"/>
          <w:b/>
          <w:sz w:val="20"/>
          <w:szCs w:val="20"/>
        </w:rPr>
        <w:t xml:space="preserve"> és elutasítás együtt (A-F</w:t>
      </w:r>
      <w:r w:rsidRPr="003D0D39">
        <w:rPr>
          <w:rFonts w:ascii="Times New Roman" w:hAnsi="Times New Roman" w:cs="Times New Roman"/>
          <w:b/>
          <w:sz w:val="20"/>
          <w:szCs w:val="20"/>
        </w:rPr>
        <w:t>)</w:t>
      </w:r>
      <w:r w:rsidR="006E0817">
        <w:rPr>
          <w:rFonts w:ascii="Times New Roman" w:hAnsi="Times New Roman" w:cs="Times New Roman"/>
          <w:b/>
          <w:sz w:val="20"/>
          <w:szCs w:val="20"/>
        </w:rPr>
        <w:t>.</w:t>
      </w:r>
    </w:p>
    <w:p w:rsidR="00C84A46" w:rsidRDefault="00C84A46" w:rsidP="006E0817">
      <w:pPr>
        <w:autoSpaceDE w:val="0"/>
        <w:autoSpaceDN w:val="0"/>
        <w:adjustRightInd w:val="0"/>
        <w:contextualSpacing/>
        <w:rPr>
          <w:rFonts w:ascii="Times New Roman" w:hAnsi="Times New Roman" w:cs="Times New Roman"/>
        </w:rPr>
      </w:pPr>
    </w:p>
    <w:p w:rsidR="006E0817" w:rsidRDefault="006E0817" w:rsidP="006E0817">
      <w:pPr>
        <w:autoSpaceDE w:val="0"/>
        <w:autoSpaceDN w:val="0"/>
        <w:adjustRightInd w:val="0"/>
        <w:contextualSpacing/>
        <w:rPr>
          <w:rFonts w:ascii="Times New Roman" w:hAnsi="Times New Roman" w:cs="Times New Roman"/>
        </w:rPr>
      </w:pPr>
      <w:r w:rsidRPr="00C83AE4">
        <w:rPr>
          <w:rFonts w:ascii="Times New Roman" w:hAnsi="Times New Roman" w:cs="Times New Roman"/>
        </w:rPr>
        <w:t>Az eljárást megszüntető döntések okait maga a törvény is (ha nem is mindegyik esetben egzaktan) meghatározza.</w:t>
      </w:r>
    </w:p>
    <w:p w:rsidR="00C83AE4" w:rsidRDefault="00C83AE4" w:rsidP="006E0817">
      <w:pPr>
        <w:autoSpaceDE w:val="0"/>
        <w:autoSpaceDN w:val="0"/>
        <w:adjustRightInd w:val="0"/>
        <w:contextualSpacing/>
        <w:rPr>
          <w:rFonts w:ascii="Times New Roman" w:hAnsi="Times New Roman" w:cs="Times New Roman"/>
        </w:rPr>
      </w:pPr>
    </w:p>
    <w:p w:rsidR="006B539C" w:rsidRPr="00C83AE4" w:rsidRDefault="006B539C" w:rsidP="006E0817">
      <w:pPr>
        <w:autoSpaceDE w:val="0"/>
        <w:autoSpaceDN w:val="0"/>
        <w:adjustRightInd w:val="0"/>
        <w:contextualSpacing/>
        <w:rPr>
          <w:rFonts w:ascii="Times New Roman" w:hAnsi="Times New Roman" w:cs="Times New Roman"/>
        </w:rPr>
      </w:pPr>
    </w:p>
    <w:p w:rsidR="006E0817" w:rsidRPr="00C83AE4" w:rsidRDefault="00C84A46" w:rsidP="006E0817">
      <w:pPr>
        <w:autoSpaceDE w:val="0"/>
        <w:autoSpaceDN w:val="0"/>
        <w:adjustRightInd w:val="0"/>
        <w:contextualSpacing/>
        <w:rPr>
          <w:rFonts w:ascii="Times New Roman" w:hAnsi="Times New Roman" w:cs="Times New Roman"/>
          <w:b/>
          <w:i/>
        </w:rPr>
      </w:pPr>
      <w:r w:rsidRPr="00C83AE4">
        <w:rPr>
          <w:rFonts w:ascii="Times New Roman" w:hAnsi="Times New Roman" w:cs="Times New Roman"/>
          <w:b/>
          <w:i/>
        </w:rPr>
        <w:t xml:space="preserve">A Fgytv. 31. § (3) bekezdése </w:t>
      </w:r>
    </w:p>
    <w:p w:rsidR="00C84A46" w:rsidRPr="00C83AE4" w:rsidRDefault="00C84A46" w:rsidP="00C84A46">
      <w:pPr>
        <w:pStyle w:val="Listaszerbekezds"/>
        <w:numPr>
          <w:ilvl w:val="0"/>
          <w:numId w:val="5"/>
        </w:numPr>
        <w:autoSpaceDE w:val="0"/>
        <w:autoSpaceDN w:val="0"/>
        <w:adjustRightInd w:val="0"/>
        <w:rPr>
          <w:rFonts w:ascii="Times New Roman" w:hAnsi="Times New Roman" w:cs="Times New Roman"/>
          <w:b/>
          <w:i/>
        </w:rPr>
      </w:pPr>
      <w:r w:rsidRPr="00C83AE4">
        <w:rPr>
          <w:rFonts w:ascii="Times New Roman" w:hAnsi="Times New Roman" w:cs="Times New Roman"/>
          <w:b/>
          <w:i/>
        </w:rPr>
        <w:t>pontja</w:t>
      </w:r>
      <w:r w:rsidRPr="00C83AE4">
        <w:rPr>
          <w:rFonts w:ascii="Times New Roman" w:hAnsi="Times New Roman" w:cs="Times New Roman"/>
          <w:i/>
        </w:rPr>
        <w:t xml:space="preserve"> szerint akkor szüntethető meg az eljárás, ha</w:t>
      </w:r>
      <w:r w:rsidRPr="00C83AE4">
        <w:rPr>
          <w:rFonts w:ascii="Times New Roman" w:hAnsi="Times New Roman" w:cs="Times New Roman"/>
          <w:b/>
          <w:i/>
        </w:rPr>
        <w:t xml:space="preserve"> a fogyasztó visszavonta a kérelmét;</w:t>
      </w:r>
    </w:p>
    <w:p w:rsidR="00C84A46" w:rsidRPr="00C83AE4" w:rsidRDefault="00C84A46" w:rsidP="00C84A46">
      <w:pPr>
        <w:pStyle w:val="Listaszerbekezds"/>
        <w:numPr>
          <w:ilvl w:val="0"/>
          <w:numId w:val="5"/>
        </w:numPr>
        <w:autoSpaceDE w:val="0"/>
        <w:autoSpaceDN w:val="0"/>
        <w:adjustRightInd w:val="0"/>
        <w:rPr>
          <w:rFonts w:ascii="Times New Roman" w:hAnsi="Times New Roman" w:cs="Times New Roman"/>
          <w:b/>
          <w:i/>
        </w:rPr>
      </w:pPr>
      <w:r w:rsidRPr="00C83AE4">
        <w:rPr>
          <w:rFonts w:ascii="Times New Roman" w:hAnsi="Times New Roman" w:cs="Times New Roman"/>
          <w:b/>
          <w:i/>
        </w:rPr>
        <w:t>pontja</w:t>
      </w:r>
      <w:r w:rsidRPr="00C83AE4">
        <w:rPr>
          <w:rFonts w:ascii="Times New Roman" w:hAnsi="Times New Roman" w:cs="Times New Roman"/>
          <w:i/>
        </w:rPr>
        <w:t xml:space="preserve"> szerinti megszüntetésről akkor beszélünk, amikor</w:t>
      </w:r>
      <w:r w:rsidRPr="00C83AE4">
        <w:rPr>
          <w:rFonts w:ascii="Times New Roman" w:hAnsi="Times New Roman" w:cs="Times New Roman"/>
          <w:b/>
          <w:i/>
        </w:rPr>
        <w:t xml:space="preserve"> a Felek a meghallgatás előtt megegyeztek a megoldásban, </w:t>
      </w:r>
      <w:r w:rsidRPr="00C83AE4">
        <w:rPr>
          <w:rFonts w:ascii="Times New Roman" w:hAnsi="Times New Roman" w:cs="Times New Roman"/>
          <w:i/>
        </w:rPr>
        <w:t>és azt, mint tényt bejelentették, tehát okafogyottá vált ebben az esetben akár a meghallgatás is;</w:t>
      </w:r>
    </w:p>
    <w:p w:rsidR="00C84A46" w:rsidRPr="00C83AE4" w:rsidRDefault="00C84A46" w:rsidP="00C84A46">
      <w:pPr>
        <w:pStyle w:val="Listaszerbekezds"/>
        <w:numPr>
          <w:ilvl w:val="0"/>
          <w:numId w:val="5"/>
        </w:numPr>
        <w:autoSpaceDE w:val="0"/>
        <w:autoSpaceDN w:val="0"/>
        <w:adjustRightInd w:val="0"/>
        <w:rPr>
          <w:rFonts w:ascii="Times New Roman" w:hAnsi="Times New Roman" w:cs="Times New Roman"/>
          <w:b/>
          <w:i/>
        </w:rPr>
      </w:pPr>
      <w:r w:rsidRPr="00C83AE4">
        <w:rPr>
          <w:rFonts w:ascii="Times New Roman" w:hAnsi="Times New Roman" w:cs="Times New Roman"/>
          <w:b/>
          <w:i/>
        </w:rPr>
        <w:t>pontos</w:t>
      </w:r>
      <w:r w:rsidRPr="00C83AE4">
        <w:rPr>
          <w:rFonts w:ascii="Times New Roman" w:hAnsi="Times New Roman" w:cs="Times New Roman"/>
          <w:i/>
        </w:rPr>
        <w:t xml:space="preserve"> megszüntetés akkor lehetséges, ha pl. bizonyítási probléma merült fel, vagy más olyan esetben, amikor lehetetlen a lebonyolítás (ebben már előfordulhatnak értelmezési problémák, pl. ha kiderül, hogy per van folyamatban, akkor az c) vagy d) pontos megszüntetés-e)</w:t>
      </w:r>
      <w:r w:rsidR="00D52B43" w:rsidRPr="00C83AE4">
        <w:rPr>
          <w:rFonts w:ascii="Times New Roman" w:hAnsi="Times New Roman" w:cs="Times New Roman"/>
          <w:i/>
        </w:rPr>
        <w:t>. Lehetetlen a lebonyolítás</w:t>
      </w:r>
      <w:r w:rsidR="00920ADB">
        <w:rPr>
          <w:rFonts w:ascii="Times New Roman" w:hAnsi="Times New Roman" w:cs="Times New Roman"/>
          <w:i/>
        </w:rPr>
        <w:t>,</w:t>
      </w:r>
      <w:r w:rsidR="00D52B43" w:rsidRPr="00C83AE4">
        <w:rPr>
          <w:rFonts w:ascii="Times New Roman" w:hAnsi="Times New Roman" w:cs="Times New Roman"/>
          <w:i/>
        </w:rPr>
        <w:t xml:space="preserve"> pl. ha a lábbelit nem mutatja be a Fogyasztó, mert az eljáró tanács nem kerül abba a helyzetbe, hogy véleményt alkothasson a panaszról. De ugyanúgy lehetetlen, ha azért nem tud dönteni, mert a Fogyasztó nem jelenik meg, és nem lehetséges tisztázni a menetközben felmerült problémákat. Az áttételek esete is ebbe a kategóriába sorolható, hiszen hatáskör és illetékesség hiányában lehetetlen az eljárást lefolytatni.</w:t>
      </w:r>
    </w:p>
    <w:p w:rsidR="00C84A46" w:rsidRPr="00C83AE4" w:rsidRDefault="00D52B43" w:rsidP="00C84A46">
      <w:pPr>
        <w:pStyle w:val="Listaszerbekezds"/>
        <w:numPr>
          <w:ilvl w:val="0"/>
          <w:numId w:val="5"/>
        </w:numPr>
        <w:autoSpaceDE w:val="0"/>
        <w:autoSpaceDN w:val="0"/>
        <w:adjustRightInd w:val="0"/>
        <w:rPr>
          <w:rFonts w:ascii="Times New Roman" w:hAnsi="Times New Roman" w:cs="Times New Roman"/>
          <w:b/>
          <w:i/>
        </w:rPr>
      </w:pPr>
      <w:r w:rsidRPr="00C83AE4">
        <w:rPr>
          <w:rFonts w:ascii="Times New Roman" w:hAnsi="Times New Roman" w:cs="Times New Roman"/>
          <w:b/>
          <w:i/>
        </w:rPr>
        <w:t>pontos</w:t>
      </w:r>
      <w:r w:rsidRPr="00C83AE4">
        <w:rPr>
          <w:rFonts w:ascii="Times New Roman" w:hAnsi="Times New Roman" w:cs="Times New Roman"/>
          <w:i/>
        </w:rPr>
        <w:t xml:space="preserve"> a megszüntetés akkor</w:t>
      </w:r>
      <w:r w:rsidRPr="00C83AE4">
        <w:rPr>
          <w:rFonts w:ascii="Times New Roman" w:hAnsi="Times New Roman" w:cs="Times New Roman"/>
          <w:b/>
          <w:i/>
        </w:rPr>
        <w:t xml:space="preserve">, ha bármely okból szükségtelennek ítéli meg a tanács a lefolytatást – beleértve a megalapozatlanságot is. </w:t>
      </w:r>
    </w:p>
    <w:p w:rsidR="00B266B7" w:rsidRPr="00C83AE4" w:rsidRDefault="00B266B7" w:rsidP="00C84A46">
      <w:pPr>
        <w:pStyle w:val="Listaszerbekezds"/>
        <w:numPr>
          <w:ilvl w:val="0"/>
          <w:numId w:val="5"/>
        </w:numPr>
        <w:autoSpaceDE w:val="0"/>
        <w:autoSpaceDN w:val="0"/>
        <w:adjustRightInd w:val="0"/>
        <w:rPr>
          <w:rFonts w:ascii="Times New Roman" w:hAnsi="Times New Roman" w:cs="Times New Roman"/>
          <w:b/>
          <w:i/>
        </w:rPr>
      </w:pPr>
      <w:r w:rsidRPr="00C83AE4">
        <w:rPr>
          <w:rFonts w:ascii="Times New Roman" w:hAnsi="Times New Roman" w:cs="Times New Roman"/>
          <w:b/>
          <w:i/>
        </w:rPr>
        <w:t xml:space="preserve">újként került be a 29. § (4) bekezdésre való hivatkozás – </w:t>
      </w:r>
      <w:r w:rsidRPr="00C83AE4">
        <w:rPr>
          <w:rFonts w:ascii="Times New Roman" w:hAnsi="Times New Roman" w:cs="Times New Roman"/>
        </w:rPr>
        <w:t xml:space="preserve">amellyel </w:t>
      </w:r>
      <w:r w:rsidR="009B38F0" w:rsidRPr="00C83AE4">
        <w:rPr>
          <w:rFonts w:ascii="Times New Roman" w:hAnsi="Times New Roman" w:cs="Times New Roman"/>
        </w:rPr>
        <w:t xml:space="preserve">végeredményben </w:t>
      </w:r>
      <w:r w:rsidRPr="00C83AE4">
        <w:rPr>
          <w:rFonts w:ascii="Times New Roman" w:hAnsi="Times New Roman" w:cs="Times New Roman"/>
        </w:rPr>
        <w:t xml:space="preserve">egy gyakorlatot „szentesített” </w:t>
      </w:r>
      <w:r w:rsidR="009B38F0" w:rsidRPr="00C83AE4">
        <w:rPr>
          <w:rFonts w:ascii="Times New Roman" w:hAnsi="Times New Roman" w:cs="Times New Roman"/>
        </w:rPr>
        <w:t>a törvényhozó (utólag).</w:t>
      </w:r>
    </w:p>
    <w:p w:rsidR="004B60A4" w:rsidRPr="00C83AE4" w:rsidRDefault="00D52B43" w:rsidP="00232C9F">
      <w:pPr>
        <w:rPr>
          <w:rFonts w:ascii="Times New Roman" w:eastAsia="Times New Roman" w:hAnsi="Times New Roman" w:cs="Times New Roman"/>
          <w:bCs/>
          <w:i/>
          <w:iCs/>
          <w:u w:val="single"/>
          <w:lang w:eastAsia="hu-HU"/>
        </w:rPr>
      </w:pPr>
      <w:r w:rsidRPr="00C83AE4">
        <w:rPr>
          <w:rFonts w:ascii="Times New Roman" w:eastAsia="Times New Roman" w:hAnsi="Times New Roman" w:cs="Times New Roman"/>
          <w:bCs/>
          <w:i/>
          <w:iCs/>
          <w:u w:val="single"/>
          <w:lang w:eastAsia="hu-HU"/>
        </w:rPr>
        <w:t xml:space="preserve">  </w:t>
      </w:r>
    </w:p>
    <w:p w:rsidR="00B266B7" w:rsidRPr="00C83AE4" w:rsidRDefault="00B266B7" w:rsidP="00232C9F">
      <w:pPr>
        <w:rPr>
          <w:rFonts w:ascii="Times New Roman" w:eastAsia="Times New Roman" w:hAnsi="Times New Roman" w:cs="Times New Roman"/>
          <w:bCs/>
          <w:iCs/>
          <w:lang w:eastAsia="hu-HU"/>
        </w:rPr>
      </w:pPr>
      <w:r w:rsidRPr="00C83AE4">
        <w:rPr>
          <w:rFonts w:ascii="Times New Roman" w:eastAsia="Times New Roman" w:hAnsi="Times New Roman" w:cs="Times New Roman"/>
          <w:bCs/>
          <w:i/>
          <w:iCs/>
          <w:lang w:eastAsia="hu-HU"/>
        </w:rPr>
        <w:t>Min</w:t>
      </w:r>
      <w:r w:rsidR="00C83AE4">
        <w:rPr>
          <w:rFonts w:ascii="Times New Roman" w:eastAsia="Times New Roman" w:hAnsi="Times New Roman" w:cs="Times New Roman"/>
          <w:bCs/>
          <w:i/>
          <w:iCs/>
          <w:lang w:eastAsia="hu-HU"/>
        </w:rPr>
        <w:t xml:space="preserve">dezek </w:t>
      </w:r>
      <w:r w:rsidR="006B539C">
        <w:rPr>
          <w:rFonts w:ascii="Times New Roman" w:eastAsia="Times New Roman" w:hAnsi="Times New Roman" w:cs="Times New Roman"/>
          <w:bCs/>
          <w:i/>
          <w:iCs/>
          <w:lang w:eastAsia="hu-HU"/>
        </w:rPr>
        <w:t xml:space="preserve">mellett </w:t>
      </w:r>
      <w:r w:rsidR="00C83AE4">
        <w:rPr>
          <w:rFonts w:ascii="Times New Roman" w:eastAsia="Times New Roman" w:hAnsi="Times New Roman" w:cs="Times New Roman"/>
          <w:bCs/>
          <w:i/>
          <w:iCs/>
          <w:lang w:eastAsia="hu-HU"/>
        </w:rPr>
        <w:t>célszerű lenne a Fgytv.</w:t>
      </w:r>
      <w:r w:rsidRPr="00C83AE4">
        <w:rPr>
          <w:rFonts w:ascii="Times New Roman" w:eastAsia="Times New Roman" w:hAnsi="Times New Roman" w:cs="Times New Roman"/>
          <w:bCs/>
          <w:i/>
          <w:iCs/>
          <w:lang w:eastAsia="hu-HU"/>
        </w:rPr>
        <w:t xml:space="preserve"> egész határozathozatali és döntési rendszer</w:t>
      </w:r>
      <w:r w:rsidR="00C83AE4">
        <w:rPr>
          <w:rFonts w:ascii="Times New Roman" w:eastAsia="Times New Roman" w:hAnsi="Times New Roman" w:cs="Times New Roman"/>
          <w:bCs/>
          <w:i/>
          <w:iCs/>
          <w:lang w:eastAsia="hu-HU"/>
        </w:rPr>
        <w:t>é</w:t>
      </w:r>
      <w:r w:rsidRPr="00C83AE4">
        <w:rPr>
          <w:rFonts w:ascii="Times New Roman" w:eastAsia="Times New Roman" w:hAnsi="Times New Roman" w:cs="Times New Roman"/>
          <w:bCs/>
          <w:i/>
          <w:iCs/>
          <w:lang w:eastAsia="hu-HU"/>
        </w:rPr>
        <w:t xml:space="preserve">t </w:t>
      </w:r>
      <w:r w:rsidR="006B539C">
        <w:rPr>
          <w:rFonts w:ascii="Times New Roman" w:eastAsia="Times New Roman" w:hAnsi="Times New Roman" w:cs="Times New Roman"/>
          <w:bCs/>
          <w:i/>
          <w:iCs/>
          <w:lang w:eastAsia="hu-HU"/>
        </w:rPr>
        <w:t xml:space="preserve">– beleértve ebbe </w:t>
      </w:r>
      <w:r w:rsidR="006B539C">
        <w:rPr>
          <w:rFonts w:ascii="Times New Roman" w:eastAsia="Times New Roman" w:hAnsi="Times New Roman" w:cs="Times New Roman"/>
          <w:bCs/>
          <w:iCs/>
          <w:lang w:eastAsia="hu-HU"/>
        </w:rPr>
        <w:t>a használt fogalmakat is</w:t>
      </w:r>
      <w:r w:rsidR="006B539C">
        <w:rPr>
          <w:rFonts w:ascii="Times New Roman" w:eastAsia="Times New Roman" w:hAnsi="Times New Roman" w:cs="Times New Roman"/>
          <w:bCs/>
          <w:i/>
          <w:iCs/>
          <w:lang w:eastAsia="hu-HU"/>
        </w:rPr>
        <w:t xml:space="preserve"> </w:t>
      </w:r>
      <w:r w:rsidR="00920ADB">
        <w:rPr>
          <w:rFonts w:ascii="Times New Roman" w:eastAsia="Times New Roman" w:hAnsi="Times New Roman" w:cs="Times New Roman"/>
          <w:bCs/>
          <w:i/>
          <w:iCs/>
          <w:lang w:eastAsia="hu-HU"/>
        </w:rPr>
        <w:t>– á</w:t>
      </w:r>
      <w:r w:rsidRPr="00C83AE4">
        <w:rPr>
          <w:rFonts w:ascii="Times New Roman" w:eastAsia="Times New Roman" w:hAnsi="Times New Roman" w:cs="Times New Roman"/>
          <w:bCs/>
          <w:i/>
          <w:iCs/>
          <w:lang w:eastAsia="hu-HU"/>
        </w:rPr>
        <w:t xml:space="preserve">tgondolni, </w:t>
      </w:r>
      <w:r w:rsidRPr="00C83AE4">
        <w:rPr>
          <w:rFonts w:ascii="Times New Roman" w:eastAsia="Times New Roman" w:hAnsi="Times New Roman" w:cs="Times New Roman"/>
          <w:bCs/>
          <w:iCs/>
          <w:lang w:eastAsia="hu-HU"/>
        </w:rPr>
        <w:t>é</w:t>
      </w:r>
      <w:r w:rsidR="006B539C">
        <w:rPr>
          <w:rFonts w:ascii="Times New Roman" w:eastAsia="Times New Roman" w:hAnsi="Times New Roman" w:cs="Times New Roman"/>
          <w:bCs/>
          <w:iCs/>
          <w:lang w:eastAsia="hu-HU"/>
        </w:rPr>
        <w:t>s logikai sorrendbe is állítani.</w:t>
      </w:r>
    </w:p>
    <w:p w:rsidR="00B266B7" w:rsidRPr="00C83AE4" w:rsidRDefault="00B266B7" w:rsidP="00232C9F">
      <w:pPr>
        <w:rPr>
          <w:rFonts w:ascii="Times New Roman" w:eastAsia="Times New Roman" w:hAnsi="Times New Roman" w:cs="Times New Roman"/>
          <w:bCs/>
          <w:iCs/>
          <w:lang w:eastAsia="hu-HU"/>
        </w:rPr>
      </w:pPr>
    </w:p>
    <w:p w:rsidR="00B266B7" w:rsidRPr="00C83AE4" w:rsidRDefault="00B266B7" w:rsidP="00232C9F">
      <w:pPr>
        <w:pStyle w:val="Listaszerbekezds"/>
        <w:numPr>
          <w:ilvl w:val="0"/>
          <w:numId w:val="1"/>
        </w:numPr>
        <w:rPr>
          <w:rFonts w:ascii="Times New Roman" w:eastAsia="Times New Roman" w:hAnsi="Times New Roman" w:cs="Times New Roman"/>
          <w:bCs/>
          <w:iCs/>
          <w:lang w:eastAsia="hu-HU"/>
        </w:rPr>
      </w:pPr>
      <w:r w:rsidRPr="00C83AE4">
        <w:rPr>
          <w:rFonts w:ascii="Times New Roman" w:eastAsia="Times New Roman" w:hAnsi="Times New Roman" w:cs="Times New Roman"/>
          <w:bCs/>
          <w:iCs/>
          <w:lang w:eastAsia="hu-HU"/>
        </w:rPr>
        <w:t xml:space="preserve">A 29. § (4) bekezdése tartalmazza azokat a megszüntetéseket, amelyeket az elnök a meghallgatás </w:t>
      </w:r>
      <w:r w:rsidR="00C83AE4">
        <w:rPr>
          <w:rFonts w:ascii="Times New Roman" w:eastAsia="Times New Roman" w:hAnsi="Times New Roman" w:cs="Times New Roman"/>
          <w:bCs/>
          <w:iCs/>
          <w:lang w:eastAsia="hu-HU"/>
        </w:rPr>
        <w:t>kitűzését mellőzve is meghozhat;</w:t>
      </w:r>
    </w:p>
    <w:p w:rsidR="00B266B7" w:rsidRPr="00C83AE4" w:rsidRDefault="00D52B43" w:rsidP="00232C9F">
      <w:pPr>
        <w:pStyle w:val="Listaszerbekezds"/>
        <w:numPr>
          <w:ilvl w:val="0"/>
          <w:numId w:val="1"/>
        </w:numPr>
        <w:rPr>
          <w:rFonts w:ascii="Times New Roman" w:eastAsia="Times New Roman" w:hAnsi="Times New Roman" w:cs="Times New Roman"/>
          <w:bCs/>
          <w:iCs/>
          <w:lang w:eastAsia="hu-HU"/>
        </w:rPr>
      </w:pPr>
      <w:r w:rsidRPr="00C83AE4">
        <w:rPr>
          <w:rFonts w:ascii="Times New Roman" w:eastAsia="Times New Roman" w:hAnsi="Times New Roman" w:cs="Times New Roman"/>
          <w:bCs/>
          <w:iCs/>
          <w:lang w:eastAsia="hu-HU"/>
        </w:rPr>
        <w:t>az egyezség létrehozásának kísérlete, illetve jóváhagyása a Fgytv. 30. § (1) bekezdésében van elhelyezve.</w:t>
      </w:r>
      <w:r w:rsidR="00B266B7" w:rsidRPr="00C83AE4">
        <w:rPr>
          <w:rFonts w:ascii="Times New Roman" w:eastAsia="Times New Roman" w:hAnsi="Times New Roman" w:cs="Times New Roman"/>
          <w:bCs/>
          <w:iCs/>
          <w:lang w:eastAsia="hu-HU"/>
        </w:rPr>
        <w:t xml:space="preserve"> Ez a szakasz azt is mondja</w:t>
      </w:r>
      <w:r w:rsidRPr="00C83AE4">
        <w:rPr>
          <w:rFonts w:ascii="Times New Roman" w:eastAsia="Times New Roman" w:hAnsi="Times New Roman" w:cs="Times New Roman"/>
          <w:bCs/>
          <w:iCs/>
          <w:lang w:eastAsia="hu-HU"/>
        </w:rPr>
        <w:t>, ha nincs egyezség (jóváhagyása</w:t>
      </w:r>
      <w:r w:rsidR="00C83AE4">
        <w:rPr>
          <w:rFonts w:ascii="Times New Roman" w:eastAsia="Times New Roman" w:hAnsi="Times New Roman" w:cs="Times New Roman"/>
          <w:bCs/>
          <w:iCs/>
          <w:lang w:eastAsia="hu-HU"/>
        </w:rPr>
        <w:t>), akkor folytatják az eljárást;</w:t>
      </w:r>
    </w:p>
    <w:p w:rsidR="00D52B43" w:rsidRPr="00C83AE4" w:rsidRDefault="00C83AE4" w:rsidP="00232C9F">
      <w:pPr>
        <w:pStyle w:val="Listaszerbekezds"/>
        <w:numPr>
          <w:ilvl w:val="0"/>
          <w:numId w:val="1"/>
        </w:numPr>
        <w:rPr>
          <w:rFonts w:ascii="Times New Roman" w:eastAsia="Times New Roman" w:hAnsi="Times New Roman" w:cs="Times New Roman"/>
          <w:bCs/>
          <w:iCs/>
          <w:lang w:eastAsia="hu-HU"/>
        </w:rPr>
      </w:pPr>
      <w:r>
        <w:rPr>
          <w:rFonts w:ascii="Times New Roman" w:eastAsia="Times New Roman" w:hAnsi="Times New Roman" w:cs="Times New Roman"/>
          <w:bCs/>
          <w:iCs/>
          <w:lang w:eastAsia="hu-HU"/>
        </w:rPr>
        <w:t>e</w:t>
      </w:r>
      <w:r w:rsidR="00B266B7" w:rsidRPr="00C83AE4">
        <w:rPr>
          <w:rFonts w:ascii="Times New Roman" w:eastAsia="Times New Roman" w:hAnsi="Times New Roman" w:cs="Times New Roman"/>
          <w:bCs/>
          <w:iCs/>
          <w:lang w:eastAsia="hu-HU"/>
        </w:rPr>
        <w:t>zt a 31. § (3) bekezdése követi – a megszüntetésekkel (döntések és nem határozatok). [Az ezt megelőző két bekezdés látszólag nincs szoros összefüggésben a megszüntetésekkel.]</w:t>
      </w:r>
      <w:r>
        <w:rPr>
          <w:rFonts w:ascii="Times New Roman" w:eastAsia="Times New Roman" w:hAnsi="Times New Roman" w:cs="Times New Roman"/>
          <w:bCs/>
          <w:iCs/>
          <w:lang w:eastAsia="hu-HU"/>
        </w:rPr>
        <w:t>;</w:t>
      </w:r>
      <w:r w:rsidR="00B266B7" w:rsidRPr="00C83AE4">
        <w:rPr>
          <w:rFonts w:ascii="Times New Roman" w:eastAsia="Times New Roman" w:hAnsi="Times New Roman" w:cs="Times New Roman"/>
          <w:bCs/>
          <w:iCs/>
          <w:lang w:eastAsia="hu-HU"/>
        </w:rPr>
        <w:t xml:space="preserve"> </w:t>
      </w:r>
    </w:p>
    <w:p w:rsidR="009B38F0" w:rsidRPr="00C83AE4" w:rsidRDefault="00C83AE4" w:rsidP="00232C9F">
      <w:pPr>
        <w:pStyle w:val="Listaszerbekezds"/>
        <w:numPr>
          <w:ilvl w:val="0"/>
          <w:numId w:val="1"/>
        </w:numPr>
        <w:rPr>
          <w:rFonts w:ascii="Times New Roman" w:eastAsia="Times New Roman" w:hAnsi="Times New Roman" w:cs="Times New Roman"/>
          <w:bCs/>
          <w:iCs/>
          <w:lang w:eastAsia="hu-HU"/>
        </w:rPr>
      </w:pPr>
      <w:r>
        <w:rPr>
          <w:rFonts w:ascii="Times New Roman" w:eastAsia="Times New Roman" w:hAnsi="Times New Roman" w:cs="Times New Roman"/>
          <w:bCs/>
          <w:iCs/>
          <w:lang w:eastAsia="hu-HU"/>
        </w:rPr>
        <w:t>a</w:t>
      </w:r>
      <w:r w:rsidR="009B38F0" w:rsidRPr="00C83AE4">
        <w:rPr>
          <w:rFonts w:ascii="Times New Roman" w:eastAsia="Times New Roman" w:hAnsi="Times New Roman" w:cs="Times New Roman"/>
          <w:bCs/>
          <w:iCs/>
          <w:lang w:eastAsia="hu-HU"/>
        </w:rPr>
        <w:t xml:space="preserve"> 32. § két alpontja a kötelezést tartalmazó határozatról és az ajánlásról akként rendelkezik, hogy ezekre akkor kerül sor, ha nem jön létre egyezség és a kérelem megalapozott. </w:t>
      </w:r>
      <w:r w:rsidR="009B38F0" w:rsidRPr="00C83AE4">
        <w:rPr>
          <w:rFonts w:ascii="Times New Roman" w:eastAsia="Times New Roman" w:hAnsi="Times New Roman" w:cs="Times New Roman"/>
          <w:bCs/>
          <w:i/>
          <w:iCs/>
          <w:lang w:eastAsia="hu-HU"/>
        </w:rPr>
        <w:t>Ezért merül fel az a kérdés, nem volna-e szerencsésebb (és logikusabb, hogy akkor nem a megszüntetések után kerülne ez szabályozásra?)</w:t>
      </w:r>
      <w:r>
        <w:rPr>
          <w:rFonts w:ascii="Times New Roman" w:eastAsia="Times New Roman" w:hAnsi="Times New Roman" w:cs="Times New Roman"/>
          <w:bCs/>
          <w:i/>
          <w:iCs/>
          <w:lang w:eastAsia="hu-HU"/>
        </w:rPr>
        <w:t>;</w:t>
      </w:r>
    </w:p>
    <w:p w:rsidR="00B266B7" w:rsidRDefault="00B266B7" w:rsidP="00232C9F">
      <w:pPr>
        <w:pStyle w:val="Listaszerbekezds"/>
        <w:numPr>
          <w:ilvl w:val="0"/>
          <w:numId w:val="1"/>
        </w:numPr>
        <w:rPr>
          <w:rFonts w:ascii="Times New Roman" w:eastAsia="Times New Roman" w:hAnsi="Times New Roman" w:cs="Times New Roman"/>
          <w:bCs/>
          <w:iCs/>
          <w:lang w:eastAsia="hu-HU"/>
        </w:rPr>
      </w:pPr>
      <w:r w:rsidRPr="00C83AE4">
        <w:rPr>
          <w:rFonts w:ascii="Times New Roman" w:eastAsia="Times New Roman" w:hAnsi="Times New Roman" w:cs="Times New Roman"/>
          <w:bCs/>
          <w:iCs/>
          <w:lang w:eastAsia="hu-HU"/>
        </w:rPr>
        <w:t xml:space="preserve">A 32/A. § </w:t>
      </w:r>
      <w:r w:rsidR="009B38F0" w:rsidRPr="00C83AE4">
        <w:rPr>
          <w:rFonts w:ascii="Times New Roman" w:eastAsia="Times New Roman" w:hAnsi="Times New Roman" w:cs="Times New Roman"/>
          <w:bCs/>
          <w:iCs/>
          <w:lang w:eastAsia="hu-HU"/>
        </w:rPr>
        <w:t>elhelyezése szin</w:t>
      </w:r>
      <w:r w:rsidR="00CB4389" w:rsidRPr="00C83AE4">
        <w:rPr>
          <w:rFonts w:ascii="Times New Roman" w:eastAsia="Times New Roman" w:hAnsi="Times New Roman" w:cs="Times New Roman"/>
          <w:bCs/>
          <w:iCs/>
          <w:lang w:eastAsia="hu-HU"/>
        </w:rPr>
        <w:t>tén hasonló problémát vethet fel</w:t>
      </w:r>
      <w:r w:rsidR="009B38F0" w:rsidRPr="00C83AE4">
        <w:rPr>
          <w:rFonts w:ascii="Times New Roman" w:eastAsia="Times New Roman" w:hAnsi="Times New Roman" w:cs="Times New Roman"/>
          <w:bCs/>
          <w:iCs/>
          <w:lang w:eastAsia="hu-HU"/>
        </w:rPr>
        <w:t>.</w:t>
      </w:r>
    </w:p>
    <w:p w:rsidR="00C83AE4" w:rsidRDefault="00C83AE4" w:rsidP="00C83AE4">
      <w:pPr>
        <w:rPr>
          <w:rFonts w:ascii="Times New Roman" w:eastAsia="Times New Roman" w:hAnsi="Times New Roman" w:cs="Times New Roman"/>
          <w:bCs/>
          <w:iCs/>
          <w:lang w:eastAsia="hu-HU"/>
        </w:rPr>
      </w:pPr>
    </w:p>
    <w:p w:rsidR="00C83AE4" w:rsidRDefault="00C83AE4" w:rsidP="00C83AE4">
      <w:pPr>
        <w:rPr>
          <w:rFonts w:ascii="Times New Roman" w:eastAsia="Times New Roman" w:hAnsi="Times New Roman" w:cs="Times New Roman"/>
          <w:bCs/>
          <w:iCs/>
          <w:lang w:eastAsia="hu-HU"/>
        </w:rPr>
      </w:pPr>
      <w:r>
        <w:rPr>
          <w:rFonts w:ascii="Times New Roman" w:eastAsia="Times New Roman" w:hAnsi="Times New Roman" w:cs="Times New Roman"/>
          <w:bCs/>
          <w:iCs/>
          <w:lang w:eastAsia="hu-HU"/>
        </w:rPr>
        <w:t xml:space="preserve">Úgy véljük, hogy az általunk – a jelenlegi törvényi szabályokra tekintettel – folytatott gyakorlat helyes, mivel az eljáró tanácsok </w:t>
      </w:r>
      <w:r w:rsidRPr="0004762E">
        <w:rPr>
          <w:rFonts w:ascii="Times New Roman" w:eastAsia="Times New Roman" w:hAnsi="Times New Roman" w:cs="Times New Roman"/>
          <w:bCs/>
          <w:i/>
          <w:iCs/>
          <w:lang w:eastAsia="hu-HU"/>
        </w:rPr>
        <w:t>egyezséget jóváhagyó határozatot</w:t>
      </w:r>
      <w:r>
        <w:rPr>
          <w:rFonts w:ascii="Times New Roman" w:eastAsia="Times New Roman" w:hAnsi="Times New Roman" w:cs="Times New Roman"/>
          <w:bCs/>
          <w:iCs/>
          <w:lang w:eastAsia="hu-HU"/>
        </w:rPr>
        <w:t xml:space="preserve">; </w:t>
      </w:r>
      <w:r w:rsidRPr="0004762E">
        <w:rPr>
          <w:rFonts w:ascii="Times New Roman" w:eastAsia="Times New Roman" w:hAnsi="Times New Roman" w:cs="Times New Roman"/>
          <w:bCs/>
          <w:i/>
          <w:iCs/>
          <w:lang w:eastAsia="hu-HU"/>
        </w:rPr>
        <w:t>kötelezést tartalmazó határozatot</w:t>
      </w:r>
      <w:r>
        <w:rPr>
          <w:rFonts w:ascii="Times New Roman" w:eastAsia="Times New Roman" w:hAnsi="Times New Roman" w:cs="Times New Roman"/>
          <w:bCs/>
          <w:iCs/>
          <w:lang w:eastAsia="hu-HU"/>
        </w:rPr>
        <w:t xml:space="preserve"> hoznak. </w:t>
      </w:r>
      <w:r w:rsidRPr="0004762E">
        <w:rPr>
          <w:rFonts w:ascii="Times New Roman" w:eastAsia="Times New Roman" w:hAnsi="Times New Roman" w:cs="Times New Roman"/>
          <w:bCs/>
          <w:i/>
          <w:iCs/>
          <w:lang w:eastAsia="hu-HU"/>
        </w:rPr>
        <w:t>Ajánlást tesznek</w:t>
      </w:r>
      <w:r>
        <w:rPr>
          <w:rFonts w:ascii="Times New Roman" w:eastAsia="Times New Roman" w:hAnsi="Times New Roman" w:cs="Times New Roman"/>
          <w:bCs/>
          <w:iCs/>
          <w:lang w:eastAsia="hu-HU"/>
        </w:rPr>
        <w:t xml:space="preserve"> (hoznak)</w:t>
      </w:r>
      <w:r w:rsidR="0004762E">
        <w:rPr>
          <w:rFonts w:ascii="Times New Roman" w:eastAsia="Times New Roman" w:hAnsi="Times New Roman" w:cs="Times New Roman"/>
          <w:bCs/>
          <w:iCs/>
          <w:lang w:eastAsia="hu-HU"/>
        </w:rPr>
        <w:t xml:space="preserve"> a megoldás érdekében, amennyiben (részben vagy egészben) megalapozottnak tartják a Fogyasztó igényét.</w:t>
      </w:r>
    </w:p>
    <w:p w:rsidR="0004762E" w:rsidRDefault="0004762E" w:rsidP="0004762E">
      <w:pPr>
        <w:rPr>
          <w:rFonts w:ascii="Times New Roman" w:eastAsia="Times New Roman" w:hAnsi="Times New Roman" w:cs="Times New Roman"/>
          <w:bCs/>
          <w:iCs/>
          <w:lang w:eastAsia="hu-HU"/>
        </w:rPr>
      </w:pPr>
    </w:p>
    <w:p w:rsidR="00E23225" w:rsidRPr="00E23225" w:rsidRDefault="0004762E" w:rsidP="00E23225">
      <w:pPr>
        <w:rPr>
          <w:rFonts w:ascii="Times New Roman" w:eastAsia="Times New Roman" w:hAnsi="Times New Roman" w:cs="Times New Roman"/>
          <w:bCs/>
          <w:iCs/>
          <w:lang w:eastAsia="hu-HU"/>
        </w:rPr>
      </w:pPr>
      <w:r>
        <w:rPr>
          <w:rFonts w:ascii="Times New Roman" w:eastAsia="Times New Roman" w:hAnsi="Times New Roman" w:cs="Times New Roman"/>
          <w:bCs/>
          <w:iCs/>
          <w:lang w:eastAsia="hu-HU"/>
        </w:rPr>
        <w:t>[</w:t>
      </w:r>
      <w:r w:rsidRPr="006B539C">
        <w:rPr>
          <w:rFonts w:ascii="Times New Roman" w:eastAsia="Times New Roman" w:hAnsi="Times New Roman" w:cs="Times New Roman"/>
          <w:bCs/>
          <w:i/>
          <w:iCs/>
          <w:lang w:eastAsia="hu-HU"/>
        </w:rPr>
        <w:t>Nem</w:t>
      </w:r>
      <w:r>
        <w:rPr>
          <w:rFonts w:ascii="Times New Roman" w:eastAsia="Times New Roman" w:hAnsi="Times New Roman" w:cs="Times New Roman"/>
          <w:bCs/>
          <w:iCs/>
          <w:lang w:eastAsia="hu-HU"/>
        </w:rPr>
        <w:t xml:space="preserve"> a törvényhez, a </w:t>
      </w:r>
      <w:r w:rsidRPr="006B539C">
        <w:rPr>
          <w:rFonts w:ascii="Times New Roman" w:eastAsia="Times New Roman" w:hAnsi="Times New Roman" w:cs="Times New Roman"/>
          <w:bCs/>
          <w:i/>
          <w:iCs/>
          <w:lang w:eastAsia="hu-HU"/>
        </w:rPr>
        <w:t>megalkotásakor fűzött indokolást</w:t>
      </w:r>
      <w:r>
        <w:rPr>
          <w:rFonts w:ascii="Times New Roman" w:eastAsia="Times New Roman" w:hAnsi="Times New Roman" w:cs="Times New Roman"/>
          <w:bCs/>
          <w:iCs/>
          <w:lang w:eastAsia="hu-HU"/>
        </w:rPr>
        <w:t xml:space="preserve"> tartjuk követendőnek („</w:t>
      </w:r>
      <w:r w:rsidRPr="0004762E">
        <w:rPr>
          <w:rFonts w:ascii="Times New Roman" w:eastAsia="Times New Roman" w:hAnsi="Times New Roman" w:cs="Times New Roman"/>
          <w:bCs/>
          <w:iCs/>
          <w:lang w:eastAsia="hu-HU"/>
        </w:rPr>
        <w:t>Az eljáró tanács határozata ajánlás, ha a panasszal érintett gazdálkodó szervezet az eljárás kezdetekor úgy nyilatkozott, hogy a tanács döntését kötelezésként nem fogadja el</w:t>
      </w:r>
      <w:r>
        <w:rPr>
          <w:rFonts w:ascii="Times New Roman" w:eastAsia="Times New Roman" w:hAnsi="Times New Roman" w:cs="Times New Roman"/>
          <w:bCs/>
          <w:iCs/>
          <w:lang w:eastAsia="hu-HU"/>
        </w:rPr>
        <w:t>”)</w:t>
      </w:r>
      <w:r w:rsidRPr="0004762E">
        <w:rPr>
          <w:rFonts w:ascii="Times New Roman" w:eastAsia="Times New Roman" w:hAnsi="Times New Roman" w:cs="Times New Roman"/>
          <w:bCs/>
          <w:iCs/>
          <w:lang w:eastAsia="hu-HU"/>
        </w:rPr>
        <w:t xml:space="preserve"> </w:t>
      </w:r>
      <w:r w:rsidR="00920ADB">
        <w:rPr>
          <w:rFonts w:ascii="Times New Roman" w:eastAsia="Times New Roman" w:hAnsi="Times New Roman" w:cs="Times New Roman"/>
          <w:bCs/>
          <w:iCs/>
          <w:lang w:eastAsia="hu-HU"/>
        </w:rPr>
        <w:t>– h</w:t>
      </w:r>
      <w:r>
        <w:rPr>
          <w:rFonts w:ascii="Times New Roman" w:eastAsia="Times New Roman" w:hAnsi="Times New Roman" w:cs="Times New Roman"/>
          <w:bCs/>
          <w:iCs/>
          <w:lang w:eastAsia="hu-HU"/>
        </w:rPr>
        <w:t xml:space="preserve">anem </w:t>
      </w:r>
      <w:r w:rsidR="00E23225">
        <w:rPr>
          <w:rFonts w:ascii="Times New Roman" w:eastAsia="Times New Roman" w:hAnsi="Times New Roman" w:cs="Times New Roman"/>
          <w:bCs/>
          <w:iCs/>
          <w:lang w:eastAsia="hu-HU"/>
        </w:rPr>
        <w:t xml:space="preserve">a 2008. évi XLII. törvényhez fűzött indokolást, és ezért mi a többi esetben </w:t>
      </w:r>
      <w:r w:rsidR="00E23225">
        <w:rPr>
          <w:rFonts w:ascii="Times New Roman" w:eastAsia="Times New Roman" w:hAnsi="Times New Roman" w:cs="Times New Roman"/>
          <w:bCs/>
          <w:i/>
          <w:iCs/>
          <w:lang w:eastAsia="hu-HU"/>
        </w:rPr>
        <w:t>döntést</w:t>
      </w:r>
      <w:r w:rsidR="00E23225">
        <w:rPr>
          <w:rFonts w:ascii="Times New Roman" w:eastAsia="Times New Roman" w:hAnsi="Times New Roman" w:cs="Times New Roman"/>
          <w:bCs/>
          <w:iCs/>
          <w:lang w:eastAsia="hu-HU"/>
        </w:rPr>
        <w:t xml:space="preserve"> hozunk, ha megszüntetjü</w:t>
      </w:r>
      <w:r>
        <w:rPr>
          <w:rFonts w:ascii="Times New Roman" w:eastAsia="Times New Roman" w:hAnsi="Times New Roman" w:cs="Times New Roman"/>
          <w:bCs/>
          <w:iCs/>
          <w:lang w:eastAsia="hu-HU"/>
        </w:rPr>
        <w:t>k</w:t>
      </w:r>
      <w:r w:rsidR="00E23225">
        <w:rPr>
          <w:rFonts w:ascii="Times New Roman" w:eastAsia="Times New Roman" w:hAnsi="Times New Roman" w:cs="Times New Roman"/>
          <w:bCs/>
          <w:iCs/>
          <w:lang w:eastAsia="hu-HU"/>
        </w:rPr>
        <w:t xml:space="preserve"> az eljárást, vagy ha elutasítju</w:t>
      </w:r>
      <w:r>
        <w:rPr>
          <w:rFonts w:ascii="Times New Roman" w:eastAsia="Times New Roman" w:hAnsi="Times New Roman" w:cs="Times New Roman"/>
          <w:bCs/>
          <w:iCs/>
          <w:lang w:eastAsia="hu-HU"/>
        </w:rPr>
        <w:t>k a kérelmet.</w:t>
      </w:r>
      <w:r w:rsidR="00E23225">
        <w:rPr>
          <w:rFonts w:ascii="Times New Roman" w:eastAsia="Times New Roman" w:hAnsi="Times New Roman" w:cs="Times New Roman"/>
          <w:bCs/>
          <w:iCs/>
          <w:lang w:eastAsia="hu-HU"/>
        </w:rPr>
        <w:t xml:space="preserve"> (</w:t>
      </w:r>
      <w:r w:rsidR="00E23225" w:rsidRPr="00E23225">
        <w:rPr>
          <w:rFonts w:ascii="Times New Roman" w:eastAsia="Times New Roman" w:hAnsi="Times New Roman" w:cs="Times New Roman"/>
          <w:bCs/>
          <w:i/>
          <w:iCs/>
          <w:lang w:eastAsia="hu-HU"/>
        </w:rPr>
        <w:t>Az indokolásból: „….összhangban a jogrendszerünkben ismert más eljárási szabályozásokkal a „határozat” megjelölést a törvény csak a testület olyan döntéseire alkalmazza, amelyek a felek számára kötelezettséget állapítanak meg. Az alávetés hiányában hozott döntés a törvény szerint nem határozatnak, hanem ajánlásnak minősül.</w:t>
      </w:r>
      <w:r w:rsidR="00E23225">
        <w:rPr>
          <w:rFonts w:ascii="Times New Roman" w:eastAsia="Times New Roman" w:hAnsi="Times New Roman" w:cs="Times New Roman"/>
          <w:bCs/>
          <w:i/>
          <w:iCs/>
          <w:lang w:eastAsia="hu-HU"/>
        </w:rPr>
        <w:t>”)</w:t>
      </w:r>
    </w:p>
    <w:p w:rsidR="0004762E" w:rsidRDefault="0004762E" w:rsidP="00232C9F">
      <w:pPr>
        <w:rPr>
          <w:rFonts w:ascii="Times New Roman" w:eastAsia="Times New Roman" w:hAnsi="Times New Roman" w:cs="Times New Roman"/>
          <w:bCs/>
          <w:iCs/>
          <w:lang w:eastAsia="hu-HU"/>
        </w:rPr>
      </w:pPr>
    </w:p>
    <w:p w:rsidR="00A62422" w:rsidRPr="00CB4389" w:rsidRDefault="00A62422" w:rsidP="009B38F0">
      <w:pPr>
        <w:rPr>
          <w:rFonts w:ascii="Times New Roman" w:eastAsia="Times New Roman" w:hAnsi="Times New Roman" w:cs="Times New Roman"/>
          <w:bCs/>
          <w:i/>
          <w:iCs/>
          <w:u w:val="single"/>
          <w:lang w:eastAsia="hu-HU"/>
        </w:rPr>
      </w:pPr>
      <w:r w:rsidRPr="00CB4389">
        <w:rPr>
          <w:rFonts w:ascii="Times New Roman" w:eastAsia="Times New Roman" w:hAnsi="Times New Roman" w:cs="Times New Roman"/>
          <w:b/>
          <w:bCs/>
          <w:i/>
          <w:iCs/>
          <w:u w:val="single"/>
          <w:lang w:eastAsia="hu-HU"/>
        </w:rPr>
        <w:t>2.6.</w:t>
      </w:r>
      <w:r w:rsidRPr="00CB4389">
        <w:rPr>
          <w:rFonts w:ascii="Times New Roman" w:eastAsia="Times New Roman" w:hAnsi="Times New Roman" w:cs="Times New Roman"/>
          <w:bCs/>
          <w:i/>
          <w:iCs/>
          <w:u w:val="single"/>
          <w:lang w:eastAsia="hu-HU"/>
        </w:rPr>
        <w:t xml:space="preserve"> Ismertesse a </w:t>
      </w:r>
      <w:r w:rsidR="00830E45" w:rsidRPr="00CB4389">
        <w:rPr>
          <w:rFonts w:ascii="Times New Roman" w:eastAsia="Times New Roman" w:hAnsi="Times New Roman" w:cs="Times New Roman"/>
          <w:bCs/>
          <w:i/>
          <w:iCs/>
          <w:u w:val="single"/>
          <w:lang w:eastAsia="hu-HU"/>
        </w:rPr>
        <w:t>Fogyasztó</w:t>
      </w:r>
      <w:r w:rsidRPr="00CB4389">
        <w:rPr>
          <w:rFonts w:ascii="Times New Roman" w:eastAsia="Times New Roman" w:hAnsi="Times New Roman" w:cs="Times New Roman"/>
          <w:bCs/>
          <w:i/>
          <w:iCs/>
          <w:u w:val="single"/>
          <w:lang w:eastAsia="hu-HU"/>
        </w:rPr>
        <w:t>i jogviták lezárásához szükséges átlagos időtartamot.</w:t>
      </w:r>
    </w:p>
    <w:p w:rsidR="009B38F0" w:rsidRDefault="009B38F0" w:rsidP="009B38F0">
      <w:pPr>
        <w:rPr>
          <w:rFonts w:ascii="Times New Roman" w:eastAsia="Times New Roman" w:hAnsi="Times New Roman" w:cs="Times New Roman"/>
          <w:bCs/>
          <w:i/>
          <w:iCs/>
          <w:sz w:val="28"/>
          <w:szCs w:val="28"/>
          <w:u w:val="single"/>
          <w:lang w:eastAsia="hu-HU"/>
        </w:rPr>
      </w:pPr>
    </w:p>
    <w:p w:rsidR="009B38F0" w:rsidRPr="00E23225" w:rsidRDefault="00996C0A" w:rsidP="009B38F0">
      <w:pPr>
        <w:autoSpaceDE w:val="0"/>
        <w:autoSpaceDN w:val="0"/>
        <w:adjustRightInd w:val="0"/>
        <w:rPr>
          <w:rFonts w:ascii="Times New Roman" w:hAnsi="Times New Roman" w:cs="Times New Roman"/>
        </w:rPr>
      </w:pPr>
      <w:r>
        <w:rPr>
          <w:rFonts w:ascii="Times New Roman" w:hAnsi="Times New Roman" w:cs="Times New Roman"/>
        </w:rPr>
        <w:t>Az átlagos befejezési idő évek óta megegyezik a kitűzési idővel. E</w:t>
      </w:r>
      <w:r w:rsidR="009B38F0" w:rsidRPr="00E23225">
        <w:rPr>
          <w:rFonts w:ascii="Times New Roman" w:hAnsi="Times New Roman" w:cs="Times New Roman"/>
        </w:rPr>
        <w:t xml:space="preserve">bben sincs lényeges változás évek óta, </w:t>
      </w:r>
      <w:r>
        <w:rPr>
          <w:rFonts w:ascii="Times New Roman" w:hAnsi="Times New Roman" w:cs="Times New Roman"/>
        </w:rPr>
        <w:t xml:space="preserve">ugyanúgy, mint abban, hogy halasztásra is csak igen ritkán kerül sor, mert az első meghallgatáson </w:t>
      </w:r>
      <w:r w:rsidR="00920ADB">
        <w:rPr>
          <w:rFonts w:ascii="Times New Roman" w:hAnsi="Times New Roman" w:cs="Times New Roman"/>
        </w:rPr>
        <w:t>– á</w:t>
      </w:r>
      <w:r>
        <w:rPr>
          <w:rFonts w:ascii="Times New Roman" w:hAnsi="Times New Roman" w:cs="Times New Roman"/>
        </w:rPr>
        <w:t xml:space="preserve">tlagosan </w:t>
      </w:r>
      <w:r w:rsidR="009B38F0" w:rsidRPr="00E23225">
        <w:rPr>
          <w:rFonts w:ascii="Times New Roman" w:hAnsi="Times New Roman" w:cs="Times New Roman"/>
        </w:rPr>
        <w:t>30</w:t>
      </w:r>
      <w:r>
        <w:rPr>
          <w:rFonts w:ascii="Times New Roman" w:hAnsi="Times New Roman" w:cs="Times New Roman"/>
        </w:rPr>
        <w:t>-45 napon belül – befejeződnek az eljárások</w:t>
      </w:r>
      <w:r w:rsidR="009B38F0" w:rsidRPr="00E23225">
        <w:rPr>
          <w:rFonts w:ascii="Times New Roman" w:hAnsi="Times New Roman" w:cs="Times New Roman"/>
        </w:rPr>
        <w:t>. Ennek megfelelően a befejezések a kitűzési (60 napos határidőn belül) időn belül kb. a második harmadban történnek meg.</w:t>
      </w:r>
    </w:p>
    <w:p w:rsidR="009B38F0" w:rsidRPr="00E23225" w:rsidRDefault="009B38F0" w:rsidP="009B38F0">
      <w:pPr>
        <w:autoSpaceDE w:val="0"/>
        <w:autoSpaceDN w:val="0"/>
        <w:adjustRightInd w:val="0"/>
        <w:rPr>
          <w:rFonts w:ascii="Times New Roman" w:hAnsi="Times New Roman" w:cs="Times New Roman"/>
        </w:rPr>
      </w:pPr>
      <w:r w:rsidRPr="00E23225">
        <w:rPr>
          <w:rFonts w:ascii="Times New Roman" w:hAnsi="Times New Roman" w:cs="Times New Roman"/>
        </w:rPr>
        <w:t>Figyelembe kell venni a kitűzések idejének meghatározásakor, hogy a kiértesítéseket a hivatalos iratok kézbesítésére vonatkozó szabályok szerint kell expediálni. Nyilvánvaló, hogy nem lehet megoldás a túlzott közeli időre való kitűzés, mert a kétszeri kézbesítési kísérlet, a plusz 5 munkanap biztosítása az átvételre, és a tértivevény visszaérkezése akár 25-30 napot is igénybe vehet, és nem kockáztatható meg az azért való halasztás, mert a kézbesítés nem történt meg.</w:t>
      </w:r>
      <w:r w:rsidR="000D4F5B" w:rsidRPr="00E23225">
        <w:rPr>
          <w:rFonts w:ascii="Times New Roman" w:hAnsi="Times New Roman" w:cs="Times New Roman"/>
        </w:rPr>
        <w:t xml:space="preserve"> Már korábbi beszámolókban is felvetettük, hogy a székhelyen való kézbesítés nem egy esetben problematikus, ezért célszerű lenne az erre való szabályozás áttekintése is.</w:t>
      </w:r>
    </w:p>
    <w:p w:rsidR="009B38F0" w:rsidRPr="009B38F0" w:rsidRDefault="009B38F0" w:rsidP="009B38F0">
      <w:pPr>
        <w:rPr>
          <w:rFonts w:ascii="Times New Roman" w:eastAsia="Times New Roman" w:hAnsi="Times New Roman" w:cs="Times New Roman"/>
          <w:bCs/>
          <w:iCs/>
          <w:lang w:eastAsia="hu-HU"/>
        </w:rPr>
      </w:pPr>
    </w:p>
    <w:p w:rsidR="00A62422" w:rsidRPr="00CB4389" w:rsidRDefault="00A62422" w:rsidP="004B60A4">
      <w:pPr>
        <w:rPr>
          <w:rFonts w:ascii="Times New Roman" w:eastAsia="Times New Roman" w:hAnsi="Times New Roman" w:cs="Times New Roman"/>
          <w:bCs/>
          <w:i/>
          <w:iCs/>
          <w:u w:val="single"/>
          <w:lang w:eastAsia="hu-HU"/>
        </w:rPr>
      </w:pPr>
      <w:r w:rsidRPr="00CB4389">
        <w:rPr>
          <w:rFonts w:ascii="Times New Roman" w:eastAsia="Times New Roman" w:hAnsi="Times New Roman" w:cs="Times New Roman"/>
          <w:b/>
          <w:bCs/>
          <w:i/>
          <w:iCs/>
          <w:u w:val="single"/>
          <w:lang w:eastAsia="hu-HU"/>
        </w:rPr>
        <w:t>2.7.</w:t>
      </w:r>
      <w:r w:rsidRPr="00CB4389">
        <w:rPr>
          <w:rFonts w:ascii="Times New Roman" w:eastAsia="Times New Roman" w:hAnsi="Times New Roman" w:cs="Times New Roman"/>
          <w:bCs/>
          <w:i/>
          <w:iCs/>
          <w:u w:val="single"/>
          <w:lang w:eastAsia="hu-HU"/>
        </w:rPr>
        <w:t xml:space="preserve"> Ismertesse az ajánlások, kötelezést tartalmazó határozatok, egyezséget jóváhagyó határozatok </w:t>
      </w:r>
      <w:r w:rsidR="00830E45" w:rsidRPr="00CB4389">
        <w:rPr>
          <w:rFonts w:ascii="Times New Roman" w:eastAsia="Times New Roman" w:hAnsi="Times New Roman" w:cs="Times New Roman"/>
          <w:bCs/>
          <w:i/>
          <w:iCs/>
          <w:u w:val="single"/>
          <w:lang w:eastAsia="hu-HU"/>
        </w:rPr>
        <w:t>Vállalkozás</w:t>
      </w:r>
      <w:r w:rsidRPr="00CB4389">
        <w:rPr>
          <w:rFonts w:ascii="Times New Roman" w:eastAsia="Times New Roman" w:hAnsi="Times New Roman" w:cs="Times New Roman"/>
          <w:bCs/>
          <w:i/>
          <w:iCs/>
          <w:u w:val="single"/>
          <w:lang w:eastAsia="hu-HU"/>
        </w:rPr>
        <w:t xml:space="preserve">ok általi teljesítésére vonatkozó adatokat, amennyiben ismeretesek a testület előtt. </w:t>
      </w:r>
    </w:p>
    <w:p w:rsidR="004B60A4" w:rsidRDefault="004B60A4" w:rsidP="004B60A4">
      <w:pPr>
        <w:autoSpaceDE w:val="0"/>
        <w:autoSpaceDN w:val="0"/>
        <w:adjustRightInd w:val="0"/>
        <w:rPr>
          <w:rFonts w:ascii="Times New Roman" w:hAnsi="Times New Roman" w:cs="Times New Roman"/>
        </w:rPr>
      </w:pPr>
    </w:p>
    <w:p w:rsidR="004B60A4" w:rsidRPr="00E23225" w:rsidRDefault="00332CC3" w:rsidP="004B60A4">
      <w:pPr>
        <w:autoSpaceDE w:val="0"/>
        <w:autoSpaceDN w:val="0"/>
        <w:adjustRightInd w:val="0"/>
        <w:rPr>
          <w:rFonts w:ascii="Times New Roman" w:hAnsi="Times New Roman" w:cs="Times New Roman"/>
        </w:rPr>
      </w:pPr>
      <w:r w:rsidRPr="00E23225">
        <w:rPr>
          <w:rFonts w:ascii="Times New Roman" w:hAnsi="Times New Roman" w:cs="Times New Roman"/>
        </w:rPr>
        <w:t>Változatlanul -</w:t>
      </w:r>
      <w:r w:rsidR="004B60A4" w:rsidRPr="00E23225">
        <w:rPr>
          <w:rFonts w:ascii="Times New Roman" w:hAnsi="Times New Roman" w:cs="Times New Roman"/>
        </w:rPr>
        <w:t xml:space="preserve"> </w:t>
      </w:r>
      <w:r w:rsidRPr="00E23225">
        <w:rPr>
          <w:rFonts w:ascii="Times New Roman" w:hAnsi="Times New Roman" w:cs="Times New Roman"/>
        </w:rPr>
        <w:t xml:space="preserve">a korábbi beszámolókban előadottakkal egyezően – csak </w:t>
      </w:r>
      <w:r w:rsidR="004B60A4" w:rsidRPr="00E23225">
        <w:rPr>
          <w:rFonts w:ascii="Times New Roman" w:hAnsi="Times New Roman" w:cs="Times New Roman"/>
        </w:rPr>
        <w:t xml:space="preserve">azt mondhatjuk, hogy e tekintetben arra kell hagyatkoznunk, amit bejelentenek a </w:t>
      </w:r>
      <w:r w:rsidR="00830E45" w:rsidRPr="00E23225">
        <w:rPr>
          <w:rFonts w:ascii="Times New Roman" w:hAnsi="Times New Roman" w:cs="Times New Roman"/>
        </w:rPr>
        <w:t>Fogyasztó</w:t>
      </w:r>
      <w:r w:rsidR="004B60A4" w:rsidRPr="00E23225">
        <w:rPr>
          <w:rFonts w:ascii="Times New Roman" w:hAnsi="Times New Roman" w:cs="Times New Roman"/>
        </w:rPr>
        <w:t xml:space="preserve">k, vagy adott esetben a </w:t>
      </w:r>
      <w:r w:rsidR="00830E45" w:rsidRPr="00E23225">
        <w:rPr>
          <w:rFonts w:ascii="Times New Roman" w:hAnsi="Times New Roman" w:cs="Times New Roman"/>
        </w:rPr>
        <w:t>Vállalkozás</w:t>
      </w:r>
      <w:r w:rsidR="004B60A4" w:rsidRPr="00E23225">
        <w:rPr>
          <w:rFonts w:ascii="Times New Roman" w:hAnsi="Times New Roman" w:cs="Times New Roman"/>
        </w:rPr>
        <w:t>ok, és amelyeket így a honlapon közzéteszünk.</w:t>
      </w:r>
    </w:p>
    <w:p w:rsidR="004B60A4" w:rsidRPr="00E23225" w:rsidRDefault="004B60A4" w:rsidP="004B60A4">
      <w:pPr>
        <w:autoSpaceDE w:val="0"/>
        <w:autoSpaceDN w:val="0"/>
        <w:adjustRightInd w:val="0"/>
        <w:rPr>
          <w:rFonts w:ascii="Times New Roman" w:hAnsi="Times New Roman" w:cs="Times New Roman"/>
          <w:b/>
        </w:rPr>
      </w:pPr>
    </w:p>
    <w:p w:rsidR="004B60A4" w:rsidRPr="00E23225" w:rsidRDefault="004B60A4" w:rsidP="004B60A4">
      <w:pPr>
        <w:autoSpaceDE w:val="0"/>
        <w:autoSpaceDN w:val="0"/>
        <w:adjustRightInd w:val="0"/>
        <w:rPr>
          <w:rFonts w:ascii="Times New Roman" w:hAnsi="Times New Roman" w:cs="Times New Roman"/>
          <w:b/>
        </w:rPr>
      </w:pPr>
      <w:r w:rsidRPr="00E23225">
        <w:rPr>
          <w:rFonts w:ascii="Times New Roman" w:hAnsi="Times New Roman" w:cs="Times New Roman"/>
          <w:b/>
        </w:rPr>
        <w:t>Egyezséget jóváhagyó, illetve kötelezést tartalmazó határozatot 44-et, ajánlást pedig 120-at hoztak az eljáró tanácsok. (</w:t>
      </w:r>
      <w:r w:rsidRPr="00E23225">
        <w:rPr>
          <w:rFonts w:ascii="Times New Roman" w:hAnsi="Times New Roman" w:cs="Times New Roman"/>
        </w:rPr>
        <w:t>Ez az összes ügy 53,42 %-a volt</w:t>
      </w:r>
      <w:r w:rsidRPr="00E23225">
        <w:rPr>
          <w:rFonts w:ascii="Times New Roman" w:hAnsi="Times New Roman" w:cs="Times New Roman"/>
          <w:b/>
        </w:rPr>
        <w:t>.) A 164 meghozott döntéssel kapcsolatosan 25 bejelentést tettek (ajánlások nem teljesítése miatt)  - ez 15,24 %-ot tett ki.  Ha csak a 120 ajánláshoz viszonyítjuk, akkor 20,83 %-ot tettek ki a nem teljesített ajánlások.</w:t>
      </w:r>
    </w:p>
    <w:p w:rsidR="004B60A4" w:rsidRPr="00E23225" w:rsidRDefault="004B60A4" w:rsidP="004B60A4">
      <w:pPr>
        <w:autoSpaceDE w:val="0"/>
        <w:autoSpaceDN w:val="0"/>
        <w:adjustRightInd w:val="0"/>
        <w:rPr>
          <w:rFonts w:ascii="Times New Roman" w:hAnsi="Times New Roman" w:cs="Times New Roman"/>
        </w:rPr>
      </w:pPr>
    </w:p>
    <w:p w:rsidR="004B60A4" w:rsidRPr="00E23225" w:rsidRDefault="004B60A4" w:rsidP="004B60A4">
      <w:pPr>
        <w:autoSpaceDE w:val="0"/>
        <w:autoSpaceDN w:val="0"/>
        <w:adjustRightInd w:val="0"/>
        <w:rPr>
          <w:rFonts w:ascii="Times New Roman" w:hAnsi="Times New Roman" w:cs="Times New Roman"/>
        </w:rPr>
      </w:pPr>
      <w:r w:rsidRPr="00E23225">
        <w:rPr>
          <w:rFonts w:ascii="Times New Roman" w:hAnsi="Times New Roman" w:cs="Times New Roman"/>
        </w:rPr>
        <w:t xml:space="preserve">Megemlítjük, hogy 33 nem együttműködő </w:t>
      </w:r>
      <w:r w:rsidR="00830E45" w:rsidRPr="00E23225">
        <w:rPr>
          <w:rFonts w:ascii="Times New Roman" w:hAnsi="Times New Roman" w:cs="Times New Roman"/>
        </w:rPr>
        <w:t>Vállalkozás</w:t>
      </w:r>
      <w:r w:rsidRPr="00E23225">
        <w:rPr>
          <w:rFonts w:ascii="Times New Roman" w:hAnsi="Times New Roman" w:cs="Times New Roman"/>
        </w:rPr>
        <w:t xml:space="preserve">t tettünk közzé a honlapon. Közöttük 4 olyan van, akit bejelentettek, hogy az ajánlást nem teljesítették (közzétételük megtörtént), vagyis 29 olyan </w:t>
      </w:r>
      <w:r w:rsidR="00830E45" w:rsidRPr="00E23225">
        <w:rPr>
          <w:rFonts w:ascii="Times New Roman" w:hAnsi="Times New Roman" w:cs="Times New Roman"/>
        </w:rPr>
        <w:t>Vállalkozás</w:t>
      </w:r>
      <w:r w:rsidRPr="00E23225">
        <w:rPr>
          <w:rFonts w:ascii="Times New Roman" w:hAnsi="Times New Roman" w:cs="Times New Roman"/>
        </w:rPr>
        <w:t xml:space="preserve"> szerepel a listában, amelyik feltételezhetően az ajánlást sem teljesítette, de nem jelentették be hozzánk. (Ha ezt is hozzászámítjuk az ajánlásos ügyekhez, akkor 32,92 %-ra tehető a nem teljesítők aránya.)</w:t>
      </w:r>
    </w:p>
    <w:p w:rsidR="004B60A4" w:rsidRPr="00E23225" w:rsidRDefault="004B60A4" w:rsidP="004B60A4">
      <w:pPr>
        <w:autoSpaceDE w:val="0"/>
        <w:autoSpaceDN w:val="0"/>
        <w:adjustRightInd w:val="0"/>
        <w:rPr>
          <w:rFonts w:ascii="Times New Roman" w:hAnsi="Times New Roman" w:cs="Times New Roman"/>
        </w:rPr>
      </w:pPr>
    </w:p>
    <w:p w:rsidR="00332CC3" w:rsidRPr="00E23225" w:rsidRDefault="00332CC3" w:rsidP="004B60A4">
      <w:pPr>
        <w:autoSpaceDE w:val="0"/>
        <w:autoSpaceDN w:val="0"/>
        <w:adjustRightInd w:val="0"/>
        <w:rPr>
          <w:rFonts w:ascii="Times New Roman" w:hAnsi="Times New Roman" w:cs="Times New Roman"/>
        </w:rPr>
      </w:pPr>
      <w:r w:rsidRPr="00E23225">
        <w:rPr>
          <w:rFonts w:ascii="Times New Roman" w:hAnsi="Times New Roman" w:cs="Times New Roman"/>
        </w:rPr>
        <w:t xml:space="preserve">Ismét volt arra is példa, hogy a nem együttműködő </w:t>
      </w:r>
      <w:r w:rsidR="00830E45" w:rsidRPr="00E23225">
        <w:rPr>
          <w:rFonts w:ascii="Times New Roman" w:hAnsi="Times New Roman" w:cs="Times New Roman"/>
        </w:rPr>
        <w:t>Vállalkozás</w:t>
      </w:r>
      <w:r w:rsidRPr="00E23225">
        <w:rPr>
          <w:rFonts w:ascii="Times New Roman" w:hAnsi="Times New Roman" w:cs="Times New Roman"/>
        </w:rPr>
        <w:t xml:space="preserve"> – tudomást szerezve az eljáró tanács döntéséről – teljesítette azt, így töröltük a nyilvános adattárból.</w:t>
      </w:r>
    </w:p>
    <w:p w:rsidR="00332CC3" w:rsidRPr="00E23225" w:rsidRDefault="00332CC3" w:rsidP="004B60A4">
      <w:pPr>
        <w:autoSpaceDE w:val="0"/>
        <w:autoSpaceDN w:val="0"/>
        <w:adjustRightInd w:val="0"/>
        <w:rPr>
          <w:rFonts w:ascii="Times New Roman" w:hAnsi="Times New Roman" w:cs="Times New Roman"/>
        </w:rPr>
      </w:pPr>
    </w:p>
    <w:p w:rsidR="004B60A4" w:rsidRPr="00E23225" w:rsidRDefault="004B60A4" w:rsidP="004B60A4">
      <w:pPr>
        <w:autoSpaceDE w:val="0"/>
        <w:autoSpaceDN w:val="0"/>
        <w:adjustRightInd w:val="0"/>
        <w:rPr>
          <w:rFonts w:ascii="Times New Roman" w:hAnsi="Times New Roman" w:cs="Times New Roman"/>
        </w:rPr>
      </w:pPr>
      <w:r w:rsidRPr="00E23225">
        <w:rPr>
          <w:rFonts w:ascii="Times New Roman" w:hAnsi="Times New Roman" w:cs="Times New Roman"/>
        </w:rPr>
        <w:t xml:space="preserve">Arról is tudomásunk van, hogy egy </w:t>
      </w:r>
      <w:r w:rsidR="00830E45" w:rsidRPr="00E23225">
        <w:rPr>
          <w:rFonts w:ascii="Times New Roman" w:hAnsi="Times New Roman" w:cs="Times New Roman"/>
        </w:rPr>
        <w:t>Vállalkozás</w:t>
      </w:r>
      <w:r w:rsidRPr="00E23225">
        <w:rPr>
          <w:rFonts w:ascii="Times New Roman" w:hAnsi="Times New Roman" w:cs="Times New Roman"/>
        </w:rPr>
        <w:t xml:space="preserve">, aki termékbemutatók szervezésével foglalkozott - az egyébként általa is elismert kötelezettsége ellenére - sem fizette vissza az ajánlott időre a befizetett összegeket, de nem lehet közzétenni (még csak 30 nap telt el az ajánlás meghozatalától), annak ellenére sem, hogy a nyilvános cégadatok szerint már 10 végrehajtási eljárás van bejegyezve ellene, az ország különböző pontjain (Szegedtől – Tatabányáig). Ezért is javasoljuk már több év óta, hogy változtatásra érett lenne a 60 napos </w:t>
      </w:r>
      <w:r w:rsidR="00332CC3" w:rsidRPr="00E23225">
        <w:rPr>
          <w:rFonts w:ascii="Times New Roman" w:hAnsi="Times New Roman" w:cs="Times New Roman"/>
        </w:rPr>
        <w:t xml:space="preserve">közzétételi </w:t>
      </w:r>
      <w:r w:rsidRPr="00E23225">
        <w:rPr>
          <w:rFonts w:ascii="Times New Roman" w:hAnsi="Times New Roman" w:cs="Times New Roman"/>
        </w:rPr>
        <w:t>szabály.</w:t>
      </w:r>
    </w:p>
    <w:p w:rsidR="004B60A4" w:rsidRPr="00E23225" w:rsidRDefault="004B60A4" w:rsidP="004B60A4">
      <w:pPr>
        <w:autoSpaceDE w:val="0"/>
        <w:autoSpaceDN w:val="0"/>
        <w:adjustRightInd w:val="0"/>
        <w:rPr>
          <w:rFonts w:ascii="Times New Roman" w:hAnsi="Times New Roman" w:cs="Times New Roman"/>
        </w:rPr>
      </w:pPr>
    </w:p>
    <w:p w:rsidR="004B60A4" w:rsidRPr="00E23225" w:rsidRDefault="004B60A4" w:rsidP="004B60A4">
      <w:pPr>
        <w:autoSpaceDE w:val="0"/>
        <w:autoSpaceDN w:val="0"/>
        <w:adjustRightInd w:val="0"/>
        <w:rPr>
          <w:rFonts w:ascii="Times New Roman" w:hAnsi="Times New Roman" w:cs="Times New Roman"/>
        </w:rPr>
      </w:pPr>
      <w:r w:rsidRPr="00E23225">
        <w:rPr>
          <w:rFonts w:ascii="Times New Roman" w:hAnsi="Times New Roman" w:cs="Times New Roman"/>
        </w:rPr>
        <w:t xml:space="preserve">Itt is megemlítjük a közismert cipőkkel foglalkozó </w:t>
      </w:r>
      <w:r w:rsidR="00830E45" w:rsidRPr="00E23225">
        <w:rPr>
          <w:rFonts w:ascii="Times New Roman" w:hAnsi="Times New Roman" w:cs="Times New Roman"/>
        </w:rPr>
        <w:t>Vállalkozás</w:t>
      </w:r>
      <w:r w:rsidRPr="00E23225">
        <w:rPr>
          <w:rFonts w:ascii="Times New Roman" w:hAnsi="Times New Roman" w:cs="Times New Roman"/>
        </w:rPr>
        <w:t>t, akivel kapcsolatban a megkeresések száma is csökkent, és 2015 májusa óta nem volt negatív visszajelzés a teljesítését illetően.</w:t>
      </w:r>
    </w:p>
    <w:p w:rsidR="004B60A4" w:rsidRPr="00E23225" w:rsidRDefault="004B60A4" w:rsidP="004B60A4">
      <w:pPr>
        <w:autoSpaceDE w:val="0"/>
        <w:autoSpaceDN w:val="0"/>
        <w:adjustRightInd w:val="0"/>
        <w:rPr>
          <w:rFonts w:ascii="Times New Roman" w:hAnsi="Times New Roman" w:cs="Times New Roman"/>
        </w:rPr>
      </w:pPr>
    </w:p>
    <w:p w:rsidR="004B60A4" w:rsidRPr="00E23225" w:rsidRDefault="004B60A4" w:rsidP="004B60A4">
      <w:pPr>
        <w:autoSpaceDE w:val="0"/>
        <w:autoSpaceDN w:val="0"/>
        <w:adjustRightInd w:val="0"/>
        <w:rPr>
          <w:rFonts w:ascii="Times New Roman" w:hAnsi="Times New Roman" w:cs="Times New Roman"/>
        </w:rPr>
      </w:pPr>
      <w:r w:rsidRPr="00E23225">
        <w:rPr>
          <w:rFonts w:ascii="Times New Roman" w:hAnsi="Times New Roman" w:cs="Times New Roman"/>
        </w:rPr>
        <w:t xml:space="preserve">Azt is kiemeljük, hogy </w:t>
      </w:r>
      <w:r w:rsidRPr="00E23225">
        <w:rPr>
          <w:rFonts w:ascii="Times New Roman" w:hAnsi="Times New Roman" w:cs="Times New Roman"/>
          <w:b/>
          <w:i/>
        </w:rPr>
        <w:t>2015-ben sem fordult elő, hogy a meghozott döntésekkel szemben bírósági eljárást kezdeményeztek volna</w:t>
      </w:r>
      <w:r w:rsidRPr="00E23225">
        <w:rPr>
          <w:rFonts w:ascii="Times New Roman" w:hAnsi="Times New Roman" w:cs="Times New Roman"/>
        </w:rPr>
        <w:t>.</w:t>
      </w:r>
    </w:p>
    <w:p w:rsidR="00105EA7" w:rsidRDefault="00105EA7" w:rsidP="00332CC3">
      <w:pPr>
        <w:rPr>
          <w:rFonts w:ascii="Times New Roman" w:eastAsia="Times New Roman" w:hAnsi="Times New Roman" w:cs="Times New Roman"/>
          <w:bCs/>
          <w:iCs/>
          <w:lang w:eastAsia="hu-HU"/>
        </w:rPr>
      </w:pPr>
    </w:p>
    <w:p w:rsidR="00105EA7" w:rsidRPr="00CB4389" w:rsidRDefault="00105EA7" w:rsidP="00920ADB">
      <w:pPr>
        <w:rPr>
          <w:rFonts w:ascii="Times New Roman" w:eastAsia="Times New Roman" w:hAnsi="Times New Roman" w:cs="Times New Roman"/>
          <w:b/>
          <w:bCs/>
          <w:i/>
          <w:iCs/>
          <w:sz w:val="28"/>
          <w:szCs w:val="28"/>
          <w:u w:val="single"/>
          <w:lang w:eastAsia="hu-HU"/>
        </w:rPr>
      </w:pPr>
      <w:r w:rsidRPr="00CB4389">
        <w:rPr>
          <w:rFonts w:ascii="Times New Roman" w:eastAsia="Times New Roman" w:hAnsi="Times New Roman" w:cs="Times New Roman"/>
          <w:b/>
          <w:bCs/>
          <w:i/>
          <w:iCs/>
          <w:sz w:val="28"/>
          <w:szCs w:val="28"/>
          <w:u w:val="single"/>
          <w:lang w:eastAsia="hu-HU"/>
        </w:rPr>
        <w:t>3. Ismertesse a Fogyasztói jogviták intézésével összefüggő lényegesnek tar</w:t>
      </w:r>
      <w:r w:rsidR="009C5749">
        <w:rPr>
          <w:rFonts w:ascii="Times New Roman" w:eastAsia="Times New Roman" w:hAnsi="Times New Roman" w:cs="Times New Roman"/>
          <w:b/>
          <w:bCs/>
          <w:i/>
          <w:iCs/>
          <w:sz w:val="28"/>
          <w:szCs w:val="28"/>
          <w:u w:val="single"/>
          <w:lang w:eastAsia="hu-HU"/>
        </w:rPr>
        <w:t>tott tapasztalatokat! (pl.: Tudt</w:t>
      </w:r>
      <w:r w:rsidRPr="00CB4389">
        <w:rPr>
          <w:rFonts w:ascii="Times New Roman" w:eastAsia="Times New Roman" w:hAnsi="Times New Roman" w:cs="Times New Roman"/>
          <w:b/>
          <w:bCs/>
          <w:i/>
          <w:iCs/>
          <w:sz w:val="28"/>
          <w:szCs w:val="28"/>
          <w:u w:val="single"/>
          <w:lang w:eastAsia="hu-HU"/>
        </w:rPr>
        <w:t xml:space="preserve">ák-e tartani az eljárási határidőket, mennyi az átlagos ügyintézési határidő, egy testületi tag által, illetve írásban lefolytatott eljárások száma, értékelje a </w:t>
      </w:r>
      <w:r w:rsidR="00830E45" w:rsidRPr="00CB4389">
        <w:rPr>
          <w:rFonts w:ascii="Times New Roman" w:eastAsia="Times New Roman" w:hAnsi="Times New Roman" w:cs="Times New Roman"/>
          <w:b/>
          <w:bCs/>
          <w:i/>
          <w:iCs/>
          <w:sz w:val="28"/>
          <w:szCs w:val="28"/>
          <w:u w:val="single"/>
          <w:lang w:eastAsia="hu-HU"/>
        </w:rPr>
        <w:t>Vállalkozás</w:t>
      </w:r>
      <w:r w:rsidRPr="00CB4389">
        <w:rPr>
          <w:rFonts w:ascii="Times New Roman" w:eastAsia="Times New Roman" w:hAnsi="Times New Roman" w:cs="Times New Roman"/>
          <w:b/>
          <w:bCs/>
          <w:i/>
          <w:iCs/>
          <w:sz w:val="28"/>
          <w:szCs w:val="28"/>
          <w:u w:val="single"/>
          <w:lang w:eastAsia="hu-HU"/>
        </w:rPr>
        <w:t>ok együttműködési készségét, alávetések alakulása, nyilvánosságra hozatal oka, száma, módja, a tanács határozata, ajánlása elleni jogorvoslatok száma, eredménye, stb.)</w:t>
      </w:r>
    </w:p>
    <w:p w:rsidR="00105EA7" w:rsidRPr="00CB4389" w:rsidRDefault="00105EA7" w:rsidP="00CB4389">
      <w:pPr>
        <w:ind w:left="567"/>
        <w:jc w:val="center"/>
        <w:rPr>
          <w:rFonts w:ascii="Times New Roman" w:eastAsia="Times New Roman" w:hAnsi="Times New Roman" w:cs="Times New Roman"/>
          <w:b/>
          <w:bCs/>
          <w:iCs/>
          <w:sz w:val="28"/>
          <w:szCs w:val="28"/>
          <w:lang w:eastAsia="hu-HU"/>
        </w:rPr>
      </w:pPr>
    </w:p>
    <w:p w:rsidR="00332CC3" w:rsidRPr="00FF0FE5" w:rsidRDefault="009C5749" w:rsidP="00332CC3">
      <w:pPr>
        <w:rPr>
          <w:rFonts w:ascii="Times New Roman" w:hAnsi="Times New Roman" w:cs="Times New Roman"/>
        </w:rPr>
      </w:pPr>
      <w:r w:rsidRPr="00FF0FE5">
        <w:rPr>
          <w:rFonts w:ascii="Times New Roman" w:hAnsi="Times New Roman" w:cs="Times New Roman"/>
          <w:b/>
        </w:rPr>
        <w:t xml:space="preserve">3.1. </w:t>
      </w:r>
      <w:r w:rsidR="00332CC3" w:rsidRPr="00FF0FE5">
        <w:rPr>
          <w:rFonts w:ascii="Times New Roman" w:hAnsi="Times New Roman" w:cs="Times New Roman"/>
          <w:i/>
        </w:rPr>
        <w:t xml:space="preserve">A határidőket </w:t>
      </w:r>
      <w:r w:rsidR="00332CC3" w:rsidRPr="00FF0FE5">
        <w:rPr>
          <w:rFonts w:ascii="Times New Roman" w:hAnsi="Times New Roman" w:cs="Times New Roman"/>
          <w:b/>
          <w:i/>
        </w:rPr>
        <w:t xml:space="preserve">a jelzett problémák ellenére </w:t>
      </w:r>
      <w:r w:rsidR="00332CC3" w:rsidRPr="00FF0FE5">
        <w:rPr>
          <w:rFonts w:ascii="Times New Roman" w:hAnsi="Times New Roman" w:cs="Times New Roman"/>
          <w:i/>
        </w:rPr>
        <w:t xml:space="preserve">tudtuk tartani. </w:t>
      </w:r>
      <w:r w:rsidR="00332CC3" w:rsidRPr="00FF0FE5">
        <w:rPr>
          <w:rFonts w:ascii="Times New Roman" w:hAnsi="Times New Roman" w:cs="Times New Roman"/>
        </w:rPr>
        <w:t>Feltételezhető, hogy az új testület összetétele nagyobb „hadrafoghatóságot” jelent – és ezt nem gátolja meg a pénzügyi helyzet sem.</w:t>
      </w:r>
    </w:p>
    <w:p w:rsidR="009C5749" w:rsidRPr="00FF0FE5" w:rsidRDefault="009C5749" w:rsidP="009C5749">
      <w:pPr>
        <w:rPr>
          <w:rFonts w:ascii="Times New Roman" w:hAnsi="Times New Roman" w:cs="Times New Roman"/>
          <w:i/>
        </w:rPr>
      </w:pPr>
      <w:r w:rsidRPr="00FF0FE5">
        <w:rPr>
          <w:rFonts w:ascii="Times New Roman" w:hAnsi="Times New Roman" w:cs="Times New Roman"/>
          <w:i/>
        </w:rPr>
        <w:t xml:space="preserve">Ahogy </w:t>
      </w:r>
      <w:r w:rsidRPr="00FF0FE5">
        <w:rPr>
          <w:rFonts w:ascii="Times New Roman" w:hAnsi="Times New Roman" w:cs="Times New Roman"/>
          <w:b/>
          <w:i/>
        </w:rPr>
        <w:t>már a 2.6.-ban is jeleztük</w:t>
      </w:r>
      <w:r w:rsidRPr="00FF0FE5">
        <w:rPr>
          <w:rFonts w:ascii="Times New Roman" w:hAnsi="Times New Roman" w:cs="Times New Roman"/>
          <w:i/>
        </w:rPr>
        <w:t xml:space="preserve">, az ügyek lezárása általában 30-45 napot vesz igénybe. </w:t>
      </w:r>
    </w:p>
    <w:p w:rsidR="009C5749" w:rsidRPr="00FF0FE5" w:rsidRDefault="009C5749" w:rsidP="009C5749">
      <w:pPr>
        <w:rPr>
          <w:rFonts w:ascii="Times New Roman" w:hAnsi="Times New Roman" w:cs="Times New Roman"/>
          <w:i/>
        </w:rPr>
      </w:pPr>
    </w:p>
    <w:p w:rsidR="009C5749" w:rsidRPr="00FF0FE5" w:rsidRDefault="009C5749" w:rsidP="009C5749">
      <w:pPr>
        <w:rPr>
          <w:rFonts w:ascii="Times New Roman" w:hAnsi="Times New Roman" w:cs="Times New Roman"/>
          <w:b/>
        </w:rPr>
      </w:pPr>
      <w:r w:rsidRPr="00FF0FE5">
        <w:rPr>
          <w:rFonts w:ascii="Times New Roman" w:hAnsi="Times New Roman" w:cs="Times New Roman"/>
          <w:b/>
        </w:rPr>
        <w:t>3.2. A testület tagjainak részvétele a döntésekben</w:t>
      </w:r>
    </w:p>
    <w:p w:rsidR="00313888" w:rsidRDefault="00313888" w:rsidP="00332CC3">
      <w:pPr>
        <w:rPr>
          <w:rFonts w:ascii="Times New Roman" w:hAnsi="Times New Roman" w:cs="Times New Roman"/>
        </w:rPr>
      </w:pPr>
    </w:p>
    <w:tbl>
      <w:tblPr>
        <w:tblStyle w:val="Rcsostblzat"/>
        <w:tblW w:w="9498" w:type="dxa"/>
        <w:tblInd w:w="108" w:type="dxa"/>
        <w:tblLayout w:type="fixed"/>
        <w:tblLook w:val="04A0" w:firstRow="1" w:lastRow="0" w:firstColumn="1" w:lastColumn="0" w:noHBand="0" w:noVBand="1"/>
      </w:tblPr>
      <w:tblGrid>
        <w:gridCol w:w="851"/>
        <w:gridCol w:w="709"/>
        <w:gridCol w:w="567"/>
        <w:gridCol w:w="709"/>
        <w:gridCol w:w="709"/>
        <w:gridCol w:w="850"/>
        <w:gridCol w:w="425"/>
        <w:gridCol w:w="709"/>
        <w:gridCol w:w="708"/>
        <w:gridCol w:w="709"/>
        <w:gridCol w:w="709"/>
        <w:gridCol w:w="567"/>
        <w:gridCol w:w="567"/>
        <w:gridCol w:w="709"/>
      </w:tblGrid>
      <w:tr w:rsidR="009169DF" w:rsidRPr="00153496" w:rsidTr="00FF0FE5">
        <w:tc>
          <w:tcPr>
            <w:tcW w:w="851" w:type="dxa"/>
          </w:tcPr>
          <w:p w:rsidR="009169DF" w:rsidRPr="00153496" w:rsidRDefault="009169DF" w:rsidP="00332CC3">
            <w:pPr>
              <w:rPr>
                <w:rFonts w:ascii="Times New Roman" w:hAnsi="Times New Roman" w:cs="Times New Roman"/>
                <w:sz w:val="20"/>
                <w:szCs w:val="20"/>
              </w:rPr>
            </w:pPr>
          </w:p>
        </w:tc>
        <w:tc>
          <w:tcPr>
            <w:tcW w:w="8647" w:type="dxa"/>
            <w:gridSpan w:val="13"/>
          </w:tcPr>
          <w:p w:rsidR="009169DF" w:rsidRDefault="009169DF" w:rsidP="009169DF">
            <w:pPr>
              <w:jc w:val="center"/>
              <w:rPr>
                <w:rFonts w:ascii="Times New Roman" w:hAnsi="Times New Roman" w:cs="Times New Roman"/>
                <w:b/>
                <w:sz w:val="20"/>
                <w:szCs w:val="20"/>
              </w:rPr>
            </w:pPr>
            <w:r w:rsidRPr="009169DF">
              <w:rPr>
                <w:rFonts w:ascii="Times New Roman" w:hAnsi="Times New Roman" w:cs="Times New Roman"/>
                <w:b/>
                <w:sz w:val="20"/>
                <w:szCs w:val="20"/>
              </w:rPr>
              <w:t xml:space="preserve">a </w:t>
            </w:r>
            <w:r w:rsidR="00FF0FE5">
              <w:rPr>
                <w:rFonts w:ascii="Times New Roman" w:hAnsi="Times New Roman" w:cs="Times New Roman"/>
                <w:b/>
                <w:sz w:val="20"/>
                <w:szCs w:val="20"/>
              </w:rPr>
              <w:t>f</w:t>
            </w:r>
            <w:r w:rsidR="00830E45">
              <w:rPr>
                <w:rFonts w:ascii="Times New Roman" w:hAnsi="Times New Roman" w:cs="Times New Roman"/>
                <w:b/>
                <w:sz w:val="20"/>
                <w:szCs w:val="20"/>
              </w:rPr>
              <w:t>ogyasztó</w:t>
            </w:r>
            <w:r w:rsidR="00FF0FE5">
              <w:rPr>
                <w:rFonts w:ascii="Times New Roman" w:hAnsi="Times New Roman" w:cs="Times New Roman"/>
                <w:b/>
                <w:sz w:val="20"/>
                <w:szCs w:val="20"/>
              </w:rPr>
              <w:t>i</w:t>
            </w:r>
            <w:r w:rsidRPr="009169DF">
              <w:rPr>
                <w:rFonts w:ascii="Times New Roman" w:hAnsi="Times New Roman" w:cs="Times New Roman"/>
                <w:b/>
                <w:sz w:val="20"/>
                <w:szCs w:val="20"/>
              </w:rPr>
              <w:t xml:space="preserve"> jogviták intézésének módja</w:t>
            </w:r>
          </w:p>
          <w:p w:rsidR="009169DF" w:rsidRPr="009169DF" w:rsidRDefault="009169DF" w:rsidP="009169DF">
            <w:pPr>
              <w:jc w:val="center"/>
              <w:rPr>
                <w:rFonts w:ascii="Times New Roman" w:hAnsi="Times New Roman" w:cs="Times New Roman"/>
                <w:b/>
                <w:sz w:val="20"/>
                <w:szCs w:val="20"/>
              </w:rPr>
            </w:pPr>
          </w:p>
        </w:tc>
      </w:tr>
      <w:tr w:rsidR="00B419FC" w:rsidRPr="00153496" w:rsidTr="00FF0FE5">
        <w:tc>
          <w:tcPr>
            <w:tcW w:w="851" w:type="dxa"/>
            <w:vMerge w:val="restart"/>
          </w:tcPr>
          <w:p w:rsidR="00B419FC" w:rsidRPr="00FF0FE5" w:rsidRDefault="00B419FC" w:rsidP="00F73A3B">
            <w:pPr>
              <w:jc w:val="center"/>
              <w:rPr>
                <w:rFonts w:ascii="Times New Roman" w:eastAsia="Times New Roman" w:hAnsi="Times New Roman" w:cs="Times New Roman"/>
                <w:b/>
                <w:bCs/>
                <w:color w:val="000000"/>
                <w:sz w:val="16"/>
                <w:szCs w:val="16"/>
                <w:lang w:eastAsia="hu-HU"/>
              </w:rPr>
            </w:pPr>
            <w:r w:rsidRPr="00FF0FE5">
              <w:rPr>
                <w:rFonts w:ascii="Times New Roman" w:eastAsia="Times New Roman" w:hAnsi="Times New Roman" w:cs="Times New Roman"/>
                <w:b/>
                <w:bCs/>
                <w:color w:val="000000"/>
                <w:sz w:val="16"/>
                <w:szCs w:val="16"/>
                <w:lang w:eastAsia="hu-HU"/>
              </w:rPr>
              <w:t>ös</w:t>
            </w:r>
            <w:r w:rsidR="00FF0FE5">
              <w:rPr>
                <w:rFonts w:ascii="Times New Roman" w:eastAsia="Times New Roman" w:hAnsi="Times New Roman" w:cs="Times New Roman"/>
                <w:b/>
                <w:bCs/>
                <w:color w:val="000000"/>
                <w:sz w:val="16"/>
                <w:szCs w:val="16"/>
                <w:lang w:eastAsia="hu-HU"/>
              </w:rPr>
              <w:t>z</w:t>
            </w:r>
            <w:r w:rsidRPr="00FF0FE5">
              <w:rPr>
                <w:rFonts w:ascii="Times New Roman" w:eastAsia="Times New Roman" w:hAnsi="Times New Roman" w:cs="Times New Roman"/>
                <w:b/>
                <w:bCs/>
                <w:color w:val="000000"/>
                <w:sz w:val="16"/>
                <w:szCs w:val="16"/>
                <w:lang w:eastAsia="hu-HU"/>
              </w:rPr>
              <w:t>zes</w:t>
            </w:r>
          </w:p>
          <w:p w:rsidR="009169DF" w:rsidRPr="00FF0FE5" w:rsidRDefault="009169DF" w:rsidP="00F73A3B">
            <w:pPr>
              <w:jc w:val="center"/>
              <w:rPr>
                <w:rFonts w:ascii="Times New Roman" w:eastAsia="Times New Roman" w:hAnsi="Times New Roman" w:cs="Times New Roman"/>
                <w:b/>
                <w:bCs/>
                <w:color w:val="000000"/>
                <w:sz w:val="16"/>
                <w:szCs w:val="16"/>
                <w:lang w:eastAsia="hu-HU"/>
              </w:rPr>
            </w:pPr>
            <w:r w:rsidRPr="00FF0FE5">
              <w:rPr>
                <w:rFonts w:ascii="Times New Roman" w:eastAsia="Times New Roman" w:hAnsi="Times New Roman" w:cs="Times New Roman"/>
                <w:b/>
                <w:bCs/>
                <w:color w:val="000000"/>
                <w:sz w:val="16"/>
                <w:szCs w:val="16"/>
                <w:lang w:eastAsia="hu-HU"/>
              </w:rPr>
              <w:t>ügy</w:t>
            </w:r>
          </w:p>
          <w:p w:rsidR="00B419FC" w:rsidRPr="00FF0FE5" w:rsidRDefault="00B419FC" w:rsidP="00F73A3B">
            <w:pPr>
              <w:jc w:val="center"/>
              <w:rPr>
                <w:rFonts w:ascii="Times New Roman" w:hAnsi="Times New Roman" w:cs="Times New Roman"/>
                <w:sz w:val="16"/>
                <w:szCs w:val="16"/>
              </w:rPr>
            </w:pPr>
          </w:p>
        </w:tc>
        <w:tc>
          <w:tcPr>
            <w:tcW w:w="709" w:type="dxa"/>
            <w:vMerge w:val="restart"/>
          </w:tcPr>
          <w:p w:rsidR="00B419FC" w:rsidRPr="00FF0FE5" w:rsidRDefault="00B419FC" w:rsidP="00B419FC">
            <w:pPr>
              <w:jc w:val="center"/>
              <w:rPr>
                <w:rFonts w:ascii="Times New Roman" w:eastAsia="Times New Roman" w:hAnsi="Times New Roman" w:cs="Times New Roman"/>
                <w:b/>
                <w:i/>
                <w:color w:val="000000"/>
                <w:sz w:val="16"/>
                <w:szCs w:val="16"/>
                <w:lang w:eastAsia="hu-HU"/>
              </w:rPr>
            </w:pPr>
            <w:r w:rsidRPr="00FF0FE5">
              <w:rPr>
                <w:rFonts w:ascii="Times New Roman" w:eastAsia="Times New Roman" w:hAnsi="Times New Roman" w:cs="Times New Roman"/>
                <w:b/>
                <w:i/>
                <w:color w:val="000000"/>
                <w:sz w:val="16"/>
                <w:szCs w:val="16"/>
                <w:lang w:eastAsia="hu-HU"/>
              </w:rPr>
              <w:t>3 tagú</w:t>
            </w:r>
          </w:p>
          <w:p w:rsidR="00B419FC" w:rsidRPr="00FF0FE5" w:rsidRDefault="00B419FC" w:rsidP="00B419FC">
            <w:pPr>
              <w:jc w:val="center"/>
              <w:rPr>
                <w:rFonts w:ascii="Times New Roman" w:hAnsi="Times New Roman" w:cs="Times New Roman"/>
                <w:sz w:val="16"/>
                <w:szCs w:val="16"/>
              </w:rPr>
            </w:pPr>
            <w:r w:rsidRPr="00FF0FE5">
              <w:rPr>
                <w:rFonts w:ascii="Times New Roman" w:eastAsia="Times New Roman" w:hAnsi="Times New Roman" w:cs="Times New Roman"/>
                <w:b/>
                <w:i/>
                <w:color w:val="000000"/>
                <w:sz w:val="16"/>
                <w:szCs w:val="16"/>
                <w:lang w:eastAsia="hu-HU"/>
              </w:rPr>
              <w:t>tanács</w:t>
            </w:r>
          </w:p>
        </w:tc>
        <w:tc>
          <w:tcPr>
            <w:tcW w:w="1985" w:type="dxa"/>
            <w:gridSpan w:val="3"/>
          </w:tcPr>
          <w:p w:rsidR="00B419FC" w:rsidRPr="00FF0FE5" w:rsidRDefault="00B419FC" w:rsidP="00B419FC">
            <w:pPr>
              <w:jc w:val="center"/>
              <w:rPr>
                <w:rFonts w:ascii="Times New Roman" w:hAnsi="Times New Roman" w:cs="Times New Roman"/>
                <w:b/>
                <w:sz w:val="16"/>
                <w:szCs w:val="16"/>
              </w:rPr>
            </w:pPr>
            <w:r w:rsidRPr="00FF0FE5">
              <w:rPr>
                <w:rFonts w:ascii="Times New Roman" w:hAnsi="Times New Roman" w:cs="Times New Roman"/>
                <w:b/>
                <w:sz w:val="16"/>
                <w:szCs w:val="16"/>
              </w:rPr>
              <w:t>3 tagú tanácsban résztvevő</w:t>
            </w:r>
          </w:p>
        </w:tc>
        <w:tc>
          <w:tcPr>
            <w:tcW w:w="850" w:type="dxa"/>
            <w:vMerge w:val="restart"/>
          </w:tcPr>
          <w:p w:rsidR="00B419FC" w:rsidRPr="00FF0FE5" w:rsidRDefault="00B419FC" w:rsidP="00332CC3">
            <w:pPr>
              <w:rPr>
                <w:rFonts w:ascii="Times New Roman" w:hAnsi="Times New Roman" w:cs="Times New Roman"/>
                <w:b/>
                <w:i/>
                <w:sz w:val="16"/>
                <w:szCs w:val="16"/>
              </w:rPr>
            </w:pPr>
            <w:r w:rsidRPr="00FF0FE5">
              <w:rPr>
                <w:rFonts w:ascii="Times New Roman" w:hAnsi="Times New Roman" w:cs="Times New Roman"/>
                <w:b/>
                <w:i/>
                <w:sz w:val="16"/>
                <w:szCs w:val="16"/>
              </w:rPr>
              <w:t>egyedül</w:t>
            </w:r>
          </w:p>
          <w:p w:rsidR="00B419FC" w:rsidRPr="00FF0FE5" w:rsidRDefault="00B419FC" w:rsidP="00153496">
            <w:pPr>
              <w:jc w:val="center"/>
              <w:rPr>
                <w:rFonts w:ascii="Times New Roman" w:hAnsi="Times New Roman" w:cs="Times New Roman"/>
                <w:b/>
                <w:i/>
                <w:sz w:val="16"/>
                <w:szCs w:val="16"/>
              </w:rPr>
            </w:pPr>
            <w:r w:rsidRPr="00FF0FE5">
              <w:rPr>
                <w:rFonts w:ascii="Times New Roman" w:hAnsi="Times New Roman" w:cs="Times New Roman"/>
                <w:b/>
                <w:i/>
                <w:sz w:val="16"/>
                <w:szCs w:val="16"/>
              </w:rPr>
              <w:t>eljáró</w:t>
            </w:r>
          </w:p>
          <w:p w:rsidR="00B419FC" w:rsidRPr="00FF0FE5" w:rsidRDefault="00B419FC" w:rsidP="00153496">
            <w:pPr>
              <w:jc w:val="center"/>
              <w:rPr>
                <w:rFonts w:ascii="Times New Roman" w:hAnsi="Times New Roman" w:cs="Times New Roman"/>
                <w:sz w:val="16"/>
                <w:szCs w:val="16"/>
              </w:rPr>
            </w:pPr>
            <w:r w:rsidRPr="00FF0FE5">
              <w:rPr>
                <w:rFonts w:ascii="Times New Roman" w:hAnsi="Times New Roman" w:cs="Times New Roman"/>
                <w:b/>
                <w:i/>
                <w:sz w:val="16"/>
                <w:szCs w:val="16"/>
              </w:rPr>
              <w:t>tagként</w:t>
            </w:r>
          </w:p>
        </w:tc>
        <w:tc>
          <w:tcPr>
            <w:tcW w:w="2551" w:type="dxa"/>
            <w:gridSpan w:val="4"/>
          </w:tcPr>
          <w:p w:rsidR="00B419FC" w:rsidRPr="00FF0FE5" w:rsidRDefault="00B419FC" w:rsidP="00B419FC">
            <w:pPr>
              <w:jc w:val="center"/>
              <w:rPr>
                <w:rFonts w:ascii="Times New Roman" w:hAnsi="Times New Roman" w:cs="Times New Roman"/>
                <w:b/>
                <w:sz w:val="16"/>
                <w:szCs w:val="16"/>
              </w:rPr>
            </w:pPr>
            <w:r w:rsidRPr="00FF0FE5">
              <w:rPr>
                <w:rFonts w:ascii="Times New Roman" w:hAnsi="Times New Roman" w:cs="Times New Roman"/>
                <w:b/>
                <w:sz w:val="16"/>
                <w:szCs w:val="16"/>
              </w:rPr>
              <w:t>egyedül eljáró tag</w:t>
            </w:r>
          </w:p>
        </w:tc>
        <w:tc>
          <w:tcPr>
            <w:tcW w:w="709" w:type="dxa"/>
            <w:vMerge w:val="restart"/>
          </w:tcPr>
          <w:p w:rsidR="00B419FC" w:rsidRPr="00FF0FE5" w:rsidRDefault="00B419FC" w:rsidP="00332CC3">
            <w:pPr>
              <w:rPr>
                <w:rFonts w:ascii="Times New Roman" w:hAnsi="Times New Roman" w:cs="Times New Roman"/>
                <w:b/>
                <w:i/>
                <w:sz w:val="16"/>
                <w:szCs w:val="16"/>
              </w:rPr>
            </w:pPr>
            <w:r w:rsidRPr="00FF0FE5">
              <w:rPr>
                <w:rFonts w:ascii="Times New Roman" w:hAnsi="Times New Roman" w:cs="Times New Roman"/>
                <w:b/>
                <w:i/>
                <w:sz w:val="16"/>
                <w:szCs w:val="16"/>
              </w:rPr>
              <w:t>írás-ban</w:t>
            </w:r>
          </w:p>
          <w:p w:rsidR="00B419FC" w:rsidRPr="00FF0FE5" w:rsidRDefault="00B419FC" w:rsidP="00332CC3">
            <w:pPr>
              <w:rPr>
                <w:rFonts w:ascii="Times New Roman" w:hAnsi="Times New Roman" w:cs="Times New Roman"/>
                <w:b/>
                <w:i/>
                <w:sz w:val="16"/>
                <w:szCs w:val="16"/>
              </w:rPr>
            </w:pPr>
            <w:r w:rsidRPr="00FF0FE5">
              <w:rPr>
                <w:rFonts w:ascii="Times New Roman" w:hAnsi="Times New Roman" w:cs="Times New Roman"/>
                <w:b/>
                <w:i/>
                <w:sz w:val="16"/>
                <w:szCs w:val="16"/>
              </w:rPr>
              <w:t>bony.</w:t>
            </w:r>
          </w:p>
        </w:tc>
        <w:tc>
          <w:tcPr>
            <w:tcW w:w="1843" w:type="dxa"/>
            <w:gridSpan w:val="3"/>
          </w:tcPr>
          <w:p w:rsidR="00B419FC" w:rsidRPr="00FF0FE5" w:rsidRDefault="00B419FC" w:rsidP="00B419FC">
            <w:pPr>
              <w:jc w:val="center"/>
              <w:rPr>
                <w:rFonts w:ascii="Times New Roman" w:hAnsi="Times New Roman" w:cs="Times New Roman"/>
                <w:b/>
                <w:sz w:val="16"/>
                <w:szCs w:val="16"/>
              </w:rPr>
            </w:pPr>
            <w:r w:rsidRPr="00FF0FE5">
              <w:rPr>
                <w:rFonts w:ascii="Times New Roman" w:hAnsi="Times New Roman" w:cs="Times New Roman"/>
                <w:b/>
                <w:sz w:val="16"/>
                <w:szCs w:val="16"/>
              </w:rPr>
              <w:t>írásban bonyo-</w:t>
            </w:r>
          </w:p>
          <w:p w:rsidR="00B419FC" w:rsidRPr="00FF0FE5" w:rsidRDefault="00B419FC" w:rsidP="00B419FC">
            <w:pPr>
              <w:jc w:val="center"/>
              <w:rPr>
                <w:rFonts w:ascii="Times New Roman" w:hAnsi="Times New Roman" w:cs="Times New Roman"/>
                <w:b/>
                <w:sz w:val="16"/>
                <w:szCs w:val="16"/>
              </w:rPr>
            </w:pPr>
            <w:r w:rsidRPr="00FF0FE5">
              <w:rPr>
                <w:rFonts w:ascii="Times New Roman" w:hAnsi="Times New Roman" w:cs="Times New Roman"/>
                <w:b/>
                <w:sz w:val="16"/>
                <w:szCs w:val="16"/>
              </w:rPr>
              <w:t>lított ügy</w:t>
            </w:r>
          </w:p>
        </w:tc>
      </w:tr>
      <w:tr w:rsidR="00B419FC" w:rsidRPr="00153496" w:rsidTr="00FF0FE5">
        <w:tc>
          <w:tcPr>
            <w:tcW w:w="851" w:type="dxa"/>
            <w:vMerge/>
          </w:tcPr>
          <w:p w:rsidR="00B419FC" w:rsidRPr="00FF0FE5" w:rsidRDefault="00B419FC" w:rsidP="00F73A3B">
            <w:pPr>
              <w:jc w:val="center"/>
              <w:rPr>
                <w:rFonts w:ascii="Times New Roman" w:eastAsia="Times New Roman" w:hAnsi="Times New Roman" w:cs="Times New Roman"/>
                <w:b/>
                <w:bCs/>
                <w:color w:val="000000"/>
                <w:sz w:val="16"/>
                <w:szCs w:val="16"/>
                <w:lang w:eastAsia="hu-HU"/>
              </w:rPr>
            </w:pPr>
          </w:p>
        </w:tc>
        <w:tc>
          <w:tcPr>
            <w:tcW w:w="709" w:type="dxa"/>
            <w:vMerge/>
          </w:tcPr>
          <w:p w:rsidR="00B419FC" w:rsidRPr="00FF0FE5" w:rsidRDefault="00B419FC" w:rsidP="00B419FC">
            <w:pPr>
              <w:jc w:val="center"/>
              <w:rPr>
                <w:rFonts w:ascii="Times New Roman" w:eastAsia="Times New Roman" w:hAnsi="Times New Roman" w:cs="Times New Roman"/>
                <w:b/>
                <w:color w:val="000000"/>
                <w:sz w:val="16"/>
                <w:szCs w:val="16"/>
                <w:lang w:eastAsia="hu-HU"/>
              </w:rPr>
            </w:pPr>
          </w:p>
        </w:tc>
        <w:tc>
          <w:tcPr>
            <w:tcW w:w="1276" w:type="dxa"/>
            <w:gridSpan w:val="2"/>
          </w:tcPr>
          <w:p w:rsidR="00B419FC" w:rsidRPr="00FF0FE5" w:rsidRDefault="00B419FC" w:rsidP="00B419FC">
            <w:pPr>
              <w:jc w:val="center"/>
              <w:rPr>
                <w:rFonts w:ascii="Times New Roman" w:hAnsi="Times New Roman" w:cs="Times New Roman"/>
                <w:sz w:val="16"/>
                <w:szCs w:val="16"/>
              </w:rPr>
            </w:pPr>
            <w:r w:rsidRPr="00FF0FE5">
              <w:rPr>
                <w:rFonts w:ascii="Times New Roman" w:eastAsia="Times New Roman" w:hAnsi="Times New Roman" w:cs="Times New Roman"/>
                <w:b/>
                <w:color w:val="000000"/>
                <w:sz w:val="16"/>
                <w:szCs w:val="16"/>
                <w:lang w:eastAsia="hu-HU"/>
              </w:rPr>
              <w:t>elnökök</w:t>
            </w:r>
          </w:p>
        </w:tc>
        <w:tc>
          <w:tcPr>
            <w:tcW w:w="709" w:type="dxa"/>
          </w:tcPr>
          <w:p w:rsidR="00B419FC" w:rsidRPr="00FF0FE5" w:rsidRDefault="00B419FC" w:rsidP="00332CC3">
            <w:pPr>
              <w:rPr>
                <w:rFonts w:ascii="Times New Roman" w:hAnsi="Times New Roman" w:cs="Times New Roman"/>
                <w:b/>
                <w:sz w:val="16"/>
                <w:szCs w:val="16"/>
              </w:rPr>
            </w:pPr>
            <w:r w:rsidRPr="00FF0FE5">
              <w:rPr>
                <w:rFonts w:ascii="Times New Roman" w:hAnsi="Times New Roman" w:cs="Times New Roman"/>
                <w:b/>
                <w:sz w:val="16"/>
                <w:szCs w:val="16"/>
              </w:rPr>
              <w:t>elnök-</w:t>
            </w:r>
          </w:p>
          <w:p w:rsidR="00B419FC" w:rsidRPr="00FF0FE5" w:rsidRDefault="00B419FC" w:rsidP="00332CC3">
            <w:pPr>
              <w:rPr>
                <w:rFonts w:ascii="Times New Roman" w:hAnsi="Times New Roman" w:cs="Times New Roman"/>
                <w:b/>
                <w:sz w:val="16"/>
                <w:szCs w:val="16"/>
              </w:rPr>
            </w:pPr>
            <w:r w:rsidRPr="00FF0FE5">
              <w:rPr>
                <w:rFonts w:ascii="Times New Roman" w:hAnsi="Times New Roman" w:cs="Times New Roman"/>
                <w:b/>
                <w:sz w:val="16"/>
                <w:szCs w:val="16"/>
              </w:rPr>
              <w:t>hely.</w:t>
            </w:r>
          </w:p>
        </w:tc>
        <w:tc>
          <w:tcPr>
            <w:tcW w:w="850" w:type="dxa"/>
            <w:vMerge/>
          </w:tcPr>
          <w:p w:rsidR="00B419FC" w:rsidRPr="00FF0FE5" w:rsidRDefault="00B419FC" w:rsidP="00153496">
            <w:pPr>
              <w:jc w:val="center"/>
              <w:rPr>
                <w:rFonts w:ascii="Times New Roman" w:hAnsi="Times New Roman" w:cs="Times New Roman"/>
                <w:sz w:val="16"/>
                <w:szCs w:val="16"/>
              </w:rPr>
            </w:pPr>
          </w:p>
        </w:tc>
        <w:tc>
          <w:tcPr>
            <w:tcW w:w="1134" w:type="dxa"/>
            <w:gridSpan w:val="2"/>
          </w:tcPr>
          <w:p w:rsidR="00B419FC" w:rsidRPr="00FF0FE5" w:rsidRDefault="00B419FC" w:rsidP="00153496">
            <w:pPr>
              <w:jc w:val="center"/>
              <w:rPr>
                <w:rFonts w:ascii="Times New Roman" w:hAnsi="Times New Roman" w:cs="Times New Roman"/>
                <w:b/>
                <w:sz w:val="16"/>
                <w:szCs w:val="16"/>
              </w:rPr>
            </w:pPr>
            <w:r w:rsidRPr="00FF0FE5">
              <w:rPr>
                <w:rFonts w:ascii="Times New Roman" w:hAnsi="Times New Roman" w:cs="Times New Roman"/>
                <w:b/>
                <w:sz w:val="16"/>
                <w:szCs w:val="16"/>
              </w:rPr>
              <w:t>elnökök</w:t>
            </w:r>
          </w:p>
        </w:tc>
        <w:tc>
          <w:tcPr>
            <w:tcW w:w="708" w:type="dxa"/>
          </w:tcPr>
          <w:p w:rsidR="00B419FC" w:rsidRPr="00FF0FE5" w:rsidRDefault="00B419FC" w:rsidP="00332CC3">
            <w:pPr>
              <w:rPr>
                <w:rFonts w:ascii="Times New Roman" w:hAnsi="Times New Roman" w:cs="Times New Roman"/>
                <w:b/>
                <w:sz w:val="16"/>
                <w:szCs w:val="16"/>
              </w:rPr>
            </w:pPr>
            <w:r w:rsidRPr="00FF0FE5">
              <w:rPr>
                <w:rFonts w:ascii="Times New Roman" w:hAnsi="Times New Roman" w:cs="Times New Roman"/>
                <w:b/>
                <w:sz w:val="16"/>
                <w:szCs w:val="16"/>
              </w:rPr>
              <w:t>elnök-hely.</w:t>
            </w:r>
          </w:p>
        </w:tc>
        <w:tc>
          <w:tcPr>
            <w:tcW w:w="709" w:type="dxa"/>
          </w:tcPr>
          <w:p w:rsidR="00B419FC" w:rsidRPr="00FF0FE5" w:rsidRDefault="00B419FC" w:rsidP="00332CC3">
            <w:pPr>
              <w:rPr>
                <w:rFonts w:ascii="Times New Roman" w:hAnsi="Times New Roman" w:cs="Times New Roman"/>
                <w:b/>
                <w:sz w:val="16"/>
                <w:szCs w:val="16"/>
              </w:rPr>
            </w:pPr>
            <w:r w:rsidRPr="00FF0FE5">
              <w:rPr>
                <w:rFonts w:ascii="Times New Roman" w:hAnsi="Times New Roman" w:cs="Times New Roman"/>
                <w:b/>
                <w:sz w:val="16"/>
                <w:szCs w:val="16"/>
              </w:rPr>
              <w:t>más</w:t>
            </w:r>
          </w:p>
          <w:p w:rsidR="009C5749" w:rsidRPr="00FF0FE5" w:rsidRDefault="009C5749" w:rsidP="00332CC3">
            <w:pPr>
              <w:rPr>
                <w:rFonts w:ascii="Times New Roman" w:hAnsi="Times New Roman" w:cs="Times New Roman"/>
                <w:b/>
                <w:sz w:val="16"/>
                <w:szCs w:val="16"/>
              </w:rPr>
            </w:pPr>
            <w:r w:rsidRPr="00FF0FE5">
              <w:rPr>
                <w:rFonts w:ascii="Times New Roman" w:hAnsi="Times New Roman" w:cs="Times New Roman"/>
                <w:b/>
                <w:sz w:val="16"/>
                <w:szCs w:val="16"/>
              </w:rPr>
              <w:t>jogász</w:t>
            </w:r>
          </w:p>
        </w:tc>
        <w:tc>
          <w:tcPr>
            <w:tcW w:w="709" w:type="dxa"/>
            <w:vMerge/>
          </w:tcPr>
          <w:p w:rsidR="00B419FC" w:rsidRPr="00FF0FE5" w:rsidRDefault="00B419FC" w:rsidP="00332CC3">
            <w:pPr>
              <w:rPr>
                <w:rFonts w:ascii="Times New Roman" w:hAnsi="Times New Roman" w:cs="Times New Roman"/>
                <w:sz w:val="16"/>
                <w:szCs w:val="16"/>
              </w:rPr>
            </w:pPr>
          </w:p>
        </w:tc>
        <w:tc>
          <w:tcPr>
            <w:tcW w:w="1134" w:type="dxa"/>
            <w:gridSpan w:val="2"/>
          </w:tcPr>
          <w:p w:rsidR="00B419FC" w:rsidRPr="00FF0FE5" w:rsidRDefault="00B419FC" w:rsidP="00332CC3">
            <w:pPr>
              <w:rPr>
                <w:rFonts w:ascii="Times New Roman" w:hAnsi="Times New Roman" w:cs="Times New Roman"/>
                <w:b/>
                <w:sz w:val="16"/>
                <w:szCs w:val="16"/>
              </w:rPr>
            </w:pPr>
            <w:r w:rsidRPr="00FF0FE5">
              <w:rPr>
                <w:rFonts w:ascii="Times New Roman" w:hAnsi="Times New Roman" w:cs="Times New Roman"/>
                <w:b/>
                <w:sz w:val="16"/>
                <w:szCs w:val="16"/>
              </w:rPr>
              <w:t>elnökök</w:t>
            </w:r>
          </w:p>
        </w:tc>
        <w:tc>
          <w:tcPr>
            <w:tcW w:w="709" w:type="dxa"/>
          </w:tcPr>
          <w:p w:rsidR="00B419FC" w:rsidRPr="00FF0FE5" w:rsidRDefault="00B419FC" w:rsidP="00332CC3">
            <w:pPr>
              <w:rPr>
                <w:rFonts w:ascii="Times New Roman" w:hAnsi="Times New Roman" w:cs="Times New Roman"/>
                <w:b/>
                <w:sz w:val="16"/>
                <w:szCs w:val="16"/>
              </w:rPr>
            </w:pPr>
            <w:r w:rsidRPr="00FF0FE5">
              <w:rPr>
                <w:rFonts w:ascii="Times New Roman" w:hAnsi="Times New Roman" w:cs="Times New Roman"/>
                <w:b/>
                <w:sz w:val="16"/>
                <w:szCs w:val="16"/>
              </w:rPr>
              <w:t>eln.h.</w:t>
            </w:r>
          </w:p>
        </w:tc>
      </w:tr>
      <w:tr w:rsidR="00B419FC" w:rsidRPr="009C5749" w:rsidTr="00FF0FE5">
        <w:tc>
          <w:tcPr>
            <w:tcW w:w="851" w:type="dxa"/>
          </w:tcPr>
          <w:p w:rsidR="00B419FC" w:rsidRPr="00FF0FE5" w:rsidRDefault="00B419FC" w:rsidP="00FF0FE5">
            <w:pPr>
              <w:jc w:val="center"/>
              <w:rPr>
                <w:rFonts w:ascii="Times New Roman" w:hAnsi="Times New Roman" w:cs="Times New Roman"/>
                <w:b/>
                <w:sz w:val="20"/>
                <w:szCs w:val="20"/>
              </w:rPr>
            </w:pPr>
            <w:r w:rsidRPr="00FF0FE5">
              <w:rPr>
                <w:rFonts w:ascii="Times New Roman" w:eastAsia="Times New Roman" w:hAnsi="Times New Roman" w:cs="Times New Roman"/>
                <w:b/>
                <w:color w:val="000000"/>
                <w:sz w:val="20"/>
                <w:szCs w:val="20"/>
                <w:lang w:eastAsia="hu-HU"/>
              </w:rPr>
              <w:t>317</w:t>
            </w:r>
          </w:p>
        </w:tc>
        <w:tc>
          <w:tcPr>
            <w:tcW w:w="709"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107</w:t>
            </w:r>
          </w:p>
        </w:tc>
        <w:tc>
          <w:tcPr>
            <w:tcW w:w="567"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75</w:t>
            </w:r>
          </w:p>
        </w:tc>
        <w:tc>
          <w:tcPr>
            <w:tcW w:w="709"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25</w:t>
            </w:r>
          </w:p>
        </w:tc>
        <w:tc>
          <w:tcPr>
            <w:tcW w:w="709"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75</w:t>
            </w:r>
          </w:p>
        </w:tc>
        <w:tc>
          <w:tcPr>
            <w:tcW w:w="850"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210</w:t>
            </w:r>
          </w:p>
        </w:tc>
        <w:tc>
          <w:tcPr>
            <w:tcW w:w="425"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1</w:t>
            </w:r>
          </w:p>
        </w:tc>
        <w:tc>
          <w:tcPr>
            <w:tcW w:w="709"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144</w:t>
            </w:r>
          </w:p>
        </w:tc>
        <w:tc>
          <w:tcPr>
            <w:tcW w:w="708"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38</w:t>
            </w:r>
          </w:p>
        </w:tc>
        <w:tc>
          <w:tcPr>
            <w:tcW w:w="709"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27</w:t>
            </w:r>
          </w:p>
        </w:tc>
        <w:tc>
          <w:tcPr>
            <w:tcW w:w="709"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113</w:t>
            </w:r>
          </w:p>
        </w:tc>
        <w:tc>
          <w:tcPr>
            <w:tcW w:w="567"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1</w:t>
            </w:r>
          </w:p>
        </w:tc>
        <w:tc>
          <w:tcPr>
            <w:tcW w:w="567"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98</w:t>
            </w:r>
          </w:p>
        </w:tc>
        <w:tc>
          <w:tcPr>
            <w:tcW w:w="709" w:type="dxa"/>
          </w:tcPr>
          <w:p w:rsidR="00B419FC" w:rsidRPr="00FF0FE5" w:rsidRDefault="00B419FC" w:rsidP="00FF0FE5">
            <w:pPr>
              <w:jc w:val="center"/>
              <w:rPr>
                <w:rFonts w:ascii="Times New Roman" w:hAnsi="Times New Roman" w:cs="Times New Roman"/>
                <w:b/>
                <w:sz w:val="20"/>
                <w:szCs w:val="20"/>
              </w:rPr>
            </w:pPr>
            <w:r w:rsidRPr="00FF0FE5">
              <w:rPr>
                <w:rFonts w:ascii="Times New Roman" w:hAnsi="Times New Roman" w:cs="Times New Roman"/>
                <w:b/>
                <w:sz w:val="20"/>
                <w:szCs w:val="20"/>
              </w:rPr>
              <w:t>14</w:t>
            </w:r>
          </w:p>
        </w:tc>
      </w:tr>
    </w:tbl>
    <w:p w:rsidR="00332CC3" w:rsidRPr="001C2761" w:rsidRDefault="00332CC3" w:rsidP="00332CC3">
      <w:pPr>
        <w:rPr>
          <w:rFonts w:ascii="Times New Roman" w:hAnsi="Times New Roman" w:cs="Times New Roman"/>
          <w:i/>
        </w:rPr>
      </w:pPr>
    </w:p>
    <w:p w:rsidR="00332CC3" w:rsidRPr="00FF0FE5" w:rsidRDefault="00332CC3" w:rsidP="00332CC3">
      <w:pPr>
        <w:rPr>
          <w:rFonts w:ascii="Times New Roman" w:hAnsi="Times New Roman" w:cs="Times New Roman"/>
        </w:rPr>
      </w:pPr>
      <w:r w:rsidRPr="00FF0FE5">
        <w:rPr>
          <w:rFonts w:ascii="Times New Roman" w:hAnsi="Times New Roman" w:cs="Times New Roman"/>
          <w:b/>
        </w:rPr>
        <w:t>Az első négy hónapban még elnök + elnökhelyettesi felállásban dolgozott a testület</w:t>
      </w:r>
      <w:r w:rsidRPr="00FF0FE5">
        <w:rPr>
          <w:rFonts w:ascii="Times New Roman" w:hAnsi="Times New Roman" w:cs="Times New Roman"/>
        </w:rPr>
        <w:t xml:space="preserve">. 122 ügyet fejeztünk be az első négy hónapban. </w:t>
      </w:r>
    </w:p>
    <w:p w:rsidR="00332CC3" w:rsidRPr="00FF0FE5" w:rsidRDefault="00332CC3" w:rsidP="00332CC3">
      <w:pPr>
        <w:rPr>
          <w:rFonts w:ascii="Times New Roman" w:hAnsi="Times New Roman" w:cs="Times New Roman"/>
          <w:b/>
          <w:i/>
        </w:rPr>
      </w:pPr>
      <w:r w:rsidRPr="00FF0FE5">
        <w:rPr>
          <w:rFonts w:ascii="Times New Roman" w:hAnsi="Times New Roman" w:cs="Times New Roman"/>
        </w:rPr>
        <w:t xml:space="preserve">Ekkor a háromtagú tanácsok által elbírált ügyek domináltak (összesen 76 ügy), bár az </w:t>
      </w:r>
      <w:r w:rsidRPr="00FF0FE5">
        <w:rPr>
          <w:rFonts w:ascii="Times New Roman" w:hAnsi="Times New Roman" w:cs="Times New Roman"/>
          <w:b/>
          <w:i/>
        </w:rPr>
        <w:t xml:space="preserve">elnökhelyettes </w:t>
      </w:r>
      <w:r w:rsidRPr="00FF0FE5">
        <w:rPr>
          <w:rFonts w:ascii="Times New Roman" w:hAnsi="Times New Roman" w:cs="Times New Roman"/>
        </w:rPr>
        <w:t xml:space="preserve">már ott is viszonylag sok ügyet oldott meg egyedül eljáróként. Eljáró tanács tagjaként 75 ügyben vett részt, 38 ügyet pedig egyedül eljáróként oldott meg. (14 írásban lebonyolított ügye volt), vagyis a </w:t>
      </w:r>
      <w:r w:rsidRPr="00FF0FE5">
        <w:rPr>
          <w:rFonts w:ascii="Times New Roman" w:hAnsi="Times New Roman" w:cs="Times New Roman"/>
          <w:b/>
          <w:i/>
        </w:rPr>
        <w:t>122 befejezett ügy közül 113-ban volt aktívan jelen.</w:t>
      </w:r>
    </w:p>
    <w:p w:rsidR="009C5749" w:rsidRPr="00FF0FE5" w:rsidRDefault="009C5749" w:rsidP="00332CC3">
      <w:pPr>
        <w:rPr>
          <w:rFonts w:ascii="Times New Roman" w:hAnsi="Times New Roman" w:cs="Times New Roman"/>
        </w:rPr>
      </w:pPr>
    </w:p>
    <w:p w:rsidR="00332CC3" w:rsidRPr="00FF0FE5" w:rsidRDefault="00332CC3" w:rsidP="00332CC3">
      <w:pPr>
        <w:rPr>
          <w:rFonts w:ascii="Times New Roman" w:hAnsi="Times New Roman" w:cs="Times New Roman"/>
        </w:rPr>
      </w:pPr>
      <w:r w:rsidRPr="00FF0FE5">
        <w:rPr>
          <w:rFonts w:ascii="Times New Roman" w:hAnsi="Times New Roman" w:cs="Times New Roman"/>
        </w:rPr>
        <w:t xml:space="preserve">Az </w:t>
      </w:r>
      <w:r w:rsidRPr="00FF0FE5">
        <w:rPr>
          <w:rFonts w:ascii="Times New Roman" w:hAnsi="Times New Roman" w:cs="Times New Roman"/>
          <w:b/>
          <w:i/>
        </w:rPr>
        <w:t>elnök</w:t>
      </w:r>
      <w:r w:rsidRPr="00FF0FE5">
        <w:rPr>
          <w:rFonts w:ascii="Times New Roman" w:hAnsi="Times New Roman" w:cs="Times New Roman"/>
        </w:rPr>
        <w:t xml:space="preserve"> ugyanezen időszakban szintén </w:t>
      </w:r>
      <w:r w:rsidRPr="00FF0FE5">
        <w:rPr>
          <w:rFonts w:ascii="Times New Roman" w:hAnsi="Times New Roman" w:cs="Times New Roman"/>
          <w:b/>
          <w:i/>
        </w:rPr>
        <w:t>75 ügyben volt tag</w:t>
      </w:r>
      <w:r w:rsidRPr="00FF0FE5">
        <w:rPr>
          <w:rFonts w:ascii="Times New Roman" w:hAnsi="Times New Roman" w:cs="Times New Roman"/>
        </w:rPr>
        <w:t>, egyedül eljáróként 1 ügyet oldott meg (írásban).</w:t>
      </w:r>
    </w:p>
    <w:p w:rsidR="00332CC3" w:rsidRPr="00FF0FE5" w:rsidRDefault="00332CC3" w:rsidP="00332CC3">
      <w:pPr>
        <w:rPr>
          <w:rFonts w:ascii="Times New Roman" w:hAnsi="Times New Roman" w:cs="Times New Roman"/>
        </w:rPr>
      </w:pPr>
      <w:r w:rsidRPr="00FF0FE5">
        <w:rPr>
          <w:rFonts w:ascii="Times New Roman" w:hAnsi="Times New Roman" w:cs="Times New Roman"/>
        </w:rPr>
        <w:t xml:space="preserve">Május-június hónapban már a </w:t>
      </w:r>
      <w:r w:rsidR="009C5749" w:rsidRPr="00FF0FE5">
        <w:rPr>
          <w:rFonts w:ascii="Times New Roman" w:hAnsi="Times New Roman" w:cs="Times New Roman"/>
          <w:b/>
          <w:i/>
        </w:rPr>
        <w:t>korábbi elnökhelyettes,</w:t>
      </w:r>
      <w:r w:rsidRPr="00FF0FE5">
        <w:rPr>
          <w:rFonts w:ascii="Times New Roman" w:hAnsi="Times New Roman" w:cs="Times New Roman"/>
          <w:b/>
          <w:i/>
        </w:rPr>
        <w:t xml:space="preserve"> testület elnökeként</w:t>
      </w:r>
      <w:r w:rsidRPr="00FF0FE5">
        <w:rPr>
          <w:rFonts w:ascii="Times New Roman" w:hAnsi="Times New Roman" w:cs="Times New Roman"/>
        </w:rPr>
        <w:t xml:space="preserve"> 7 ügyben volt az eljáró tanács tagja, és 28 ügyben egyedül eljáró tagként hozott döntést (23 írásban lefolytatott ügy).</w:t>
      </w:r>
    </w:p>
    <w:p w:rsidR="00332CC3" w:rsidRPr="00FF0FE5" w:rsidRDefault="00332CC3" w:rsidP="00332CC3">
      <w:pPr>
        <w:rPr>
          <w:rFonts w:ascii="Times New Roman" w:hAnsi="Times New Roman" w:cs="Times New Roman"/>
        </w:rPr>
      </w:pPr>
      <w:r w:rsidRPr="00FF0FE5">
        <w:rPr>
          <w:rFonts w:ascii="Times New Roman" w:hAnsi="Times New Roman" w:cs="Times New Roman"/>
        </w:rPr>
        <w:t xml:space="preserve">Látható tehát, hogy az első félévben befejezett </w:t>
      </w:r>
      <w:r w:rsidRPr="00FF0FE5">
        <w:rPr>
          <w:rFonts w:ascii="Times New Roman" w:hAnsi="Times New Roman" w:cs="Times New Roman"/>
          <w:b/>
          <w:i/>
        </w:rPr>
        <w:t xml:space="preserve">159 ügy közül az elnökhelyettes, a későbbi elnök összesen 82 tanácstagságot viselt, 66 ügyben pedig egyedül járt el, vagyis 148 esetben (93 %) </w:t>
      </w:r>
      <w:r w:rsidRPr="00FF0FE5">
        <w:rPr>
          <w:rFonts w:ascii="Times New Roman" w:hAnsi="Times New Roman" w:cs="Times New Roman"/>
        </w:rPr>
        <w:t xml:space="preserve">vett részt az ügyekben. </w:t>
      </w:r>
    </w:p>
    <w:p w:rsidR="00332CC3" w:rsidRDefault="00FF0FE5" w:rsidP="009C5749">
      <w:pPr>
        <w:rPr>
          <w:rFonts w:ascii="Times New Roman" w:eastAsia="Times New Roman" w:hAnsi="Times New Roman" w:cs="Times New Roman"/>
          <w:b/>
          <w:bCs/>
          <w:i/>
          <w:iCs/>
          <w:lang w:eastAsia="hu-HU"/>
        </w:rPr>
      </w:pPr>
      <w:r w:rsidRPr="00FF0FE5">
        <w:rPr>
          <w:rFonts w:ascii="Times New Roman" w:eastAsia="Times New Roman" w:hAnsi="Times New Roman" w:cs="Times New Roman"/>
          <w:bCs/>
          <w:iCs/>
          <w:lang w:eastAsia="hu-HU"/>
        </w:rPr>
        <w:t xml:space="preserve">A </w:t>
      </w:r>
      <w:r w:rsidRPr="00FF0FE5">
        <w:rPr>
          <w:rFonts w:ascii="Times New Roman" w:eastAsia="Times New Roman" w:hAnsi="Times New Roman" w:cs="Times New Roman"/>
          <w:b/>
          <w:bCs/>
          <w:i/>
          <w:iCs/>
          <w:lang w:eastAsia="hu-HU"/>
        </w:rPr>
        <w:t>második</w:t>
      </w:r>
      <w:r w:rsidRPr="00FF0FE5">
        <w:rPr>
          <w:rFonts w:ascii="Times New Roman" w:eastAsia="Times New Roman" w:hAnsi="Times New Roman" w:cs="Times New Roman"/>
          <w:b/>
          <w:bCs/>
          <w:i/>
          <w:iCs/>
          <w:sz w:val="22"/>
          <w:szCs w:val="22"/>
          <w:lang w:eastAsia="hu-HU"/>
        </w:rPr>
        <w:t xml:space="preserve"> </w:t>
      </w:r>
      <w:r w:rsidRPr="00FF0FE5">
        <w:rPr>
          <w:rFonts w:ascii="Times New Roman" w:eastAsia="Times New Roman" w:hAnsi="Times New Roman" w:cs="Times New Roman"/>
          <w:b/>
          <w:bCs/>
          <w:i/>
          <w:iCs/>
          <w:lang w:eastAsia="hu-HU"/>
        </w:rPr>
        <w:t>félévben az elnök a 158 ügyből 134-ben vett részt (81,81 %)</w:t>
      </w:r>
      <w:r>
        <w:rPr>
          <w:rFonts w:ascii="Times New Roman" w:eastAsia="Times New Roman" w:hAnsi="Times New Roman" w:cs="Times New Roman"/>
          <w:bCs/>
          <w:iCs/>
          <w:lang w:eastAsia="hu-HU"/>
        </w:rPr>
        <w:t xml:space="preserve"> – 18 esetben tanácstagként, és 116 esetben egyedül eljáróként. </w:t>
      </w:r>
      <w:r>
        <w:rPr>
          <w:rFonts w:ascii="Times New Roman" w:eastAsia="Times New Roman" w:hAnsi="Times New Roman" w:cs="Times New Roman"/>
          <w:bCs/>
          <w:iCs/>
          <w:sz w:val="22"/>
          <w:szCs w:val="22"/>
          <w:lang w:eastAsia="hu-HU"/>
        </w:rPr>
        <w:t xml:space="preserve"> </w:t>
      </w:r>
      <w:r w:rsidRPr="004312C4">
        <w:rPr>
          <w:rFonts w:ascii="Times New Roman" w:eastAsia="Times New Roman" w:hAnsi="Times New Roman" w:cs="Times New Roman"/>
          <w:b/>
          <w:bCs/>
          <w:i/>
          <w:iCs/>
          <w:lang w:eastAsia="hu-HU"/>
        </w:rPr>
        <w:t>A 282 ügyben való részvétele az ügyek 88,95 %-át jelentette.</w:t>
      </w:r>
      <w:r w:rsidR="00F11A5F">
        <w:rPr>
          <w:rFonts w:ascii="Times New Roman" w:eastAsia="Times New Roman" w:hAnsi="Times New Roman" w:cs="Times New Roman"/>
          <w:b/>
          <w:bCs/>
          <w:i/>
          <w:iCs/>
          <w:lang w:eastAsia="hu-HU"/>
        </w:rPr>
        <w:t xml:space="preserve"> </w:t>
      </w:r>
    </w:p>
    <w:p w:rsidR="00F11A5F" w:rsidRDefault="00F11A5F" w:rsidP="009C5749">
      <w:pPr>
        <w:rPr>
          <w:rFonts w:ascii="Times New Roman" w:eastAsia="Times New Roman" w:hAnsi="Times New Roman" w:cs="Times New Roman"/>
          <w:bCs/>
          <w:iCs/>
          <w:lang w:eastAsia="hu-HU"/>
        </w:rPr>
      </w:pPr>
      <w:r>
        <w:rPr>
          <w:rFonts w:ascii="Times New Roman" w:eastAsia="Times New Roman" w:hAnsi="Times New Roman" w:cs="Times New Roman"/>
          <w:bCs/>
          <w:iCs/>
          <w:lang w:eastAsia="hu-HU"/>
        </w:rPr>
        <w:t>Ennek részbeni okaként a pénzügyi helyzetet jelölhetjük meg.</w:t>
      </w:r>
    </w:p>
    <w:p w:rsidR="004312C4" w:rsidRPr="00105EA7" w:rsidRDefault="00F11A5F" w:rsidP="009C5749">
      <w:pPr>
        <w:rPr>
          <w:rFonts w:ascii="Times New Roman" w:eastAsia="Times New Roman" w:hAnsi="Times New Roman" w:cs="Times New Roman"/>
          <w:bCs/>
          <w:iCs/>
          <w:lang w:eastAsia="hu-HU"/>
        </w:rPr>
      </w:pPr>
      <w:r>
        <w:rPr>
          <w:rFonts w:ascii="Times New Roman" w:eastAsia="Times New Roman" w:hAnsi="Times New Roman" w:cs="Times New Roman"/>
          <w:bCs/>
          <w:iCs/>
          <w:lang w:eastAsia="hu-HU"/>
        </w:rPr>
        <w:t>Nem volt megnyugtató az sem 2015-ben, hogy a tagok hosszú hónapokig nem kapták meg a letárgyalt ügyek után járó díjazásukat. Erre reméljük, hogy a 2016-os évben – mivel a 2015. évi C. (a 2016-os költségvetési) törvényt már 2015. június 23-án elfogadta az országgyűlés.</w:t>
      </w:r>
    </w:p>
    <w:p w:rsidR="00105EA7" w:rsidRPr="009C5749" w:rsidRDefault="00105EA7" w:rsidP="00920ADB">
      <w:pPr>
        <w:rPr>
          <w:rFonts w:ascii="Times New Roman" w:eastAsia="Times New Roman" w:hAnsi="Times New Roman" w:cs="Times New Roman"/>
          <w:b/>
          <w:bCs/>
          <w:i/>
          <w:iCs/>
          <w:sz w:val="28"/>
          <w:szCs w:val="28"/>
          <w:u w:val="single"/>
          <w:lang w:eastAsia="hu-HU"/>
        </w:rPr>
      </w:pPr>
      <w:r w:rsidRPr="009C5749">
        <w:rPr>
          <w:rFonts w:ascii="Times New Roman" w:eastAsia="Times New Roman" w:hAnsi="Times New Roman" w:cs="Times New Roman"/>
          <w:b/>
          <w:bCs/>
          <w:i/>
          <w:iCs/>
          <w:sz w:val="28"/>
          <w:szCs w:val="28"/>
          <w:u w:val="single"/>
          <w:lang w:eastAsia="hu-HU"/>
        </w:rPr>
        <w:t>4. Ismertesse a testület működését segítő, illetve akadályozó körülményeket! (pl.: Személyi, tárgyi feltételek, jogszabályi környezet, finanszírozás, a kamarával való együttműködés értékelése, együttműködés más szervezetekkel, stb.)</w:t>
      </w:r>
    </w:p>
    <w:p w:rsidR="00105EA7" w:rsidRDefault="00105EA7" w:rsidP="00105EA7">
      <w:pPr>
        <w:rPr>
          <w:rFonts w:ascii="Times New Roman" w:eastAsia="Times New Roman" w:hAnsi="Times New Roman" w:cs="Times New Roman"/>
          <w:bCs/>
          <w:iCs/>
          <w:lang w:eastAsia="hu-HU"/>
        </w:rPr>
      </w:pPr>
    </w:p>
    <w:p w:rsidR="009C5749" w:rsidRPr="004312C4" w:rsidRDefault="00002898" w:rsidP="00002898">
      <w:pPr>
        <w:tabs>
          <w:tab w:val="left" w:pos="426"/>
        </w:tabs>
        <w:rPr>
          <w:rFonts w:ascii="Times New Roman" w:eastAsia="Times New Roman" w:hAnsi="Times New Roman" w:cs="Times New Roman"/>
          <w:b/>
          <w:bCs/>
          <w:iCs/>
          <w:lang w:eastAsia="hu-HU"/>
        </w:rPr>
      </w:pPr>
      <w:r w:rsidRPr="004312C4">
        <w:rPr>
          <w:rFonts w:ascii="Times New Roman" w:eastAsia="Times New Roman" w:hAnsi="Times New Roman" w:cs="Times New Roman"/>
          <w:b/>
          <w:bCs/>
          <w:iCs/>
          <w:lang w:eastAsia="hu-HU"/>
        </w:rPr>
        <w:t xml:space="preserve">4.1. </w:t>
      </w:r>
      <w:r w:rsidR="009C5749" w:rsidRPr="004312C4">
        <w:rPr>
          <w:rFonts w:ascii="Times New Roman" w:eastAsia="Times New Roman" w:hAnsi="Times New Roman" w:cs="Times New Roman"/>
          <w:b/>
          <w:bCs/>
          <w:iCs/>
          <w:lang w:eastAsia="hu-HU"/>
        </w:rPr>
        <w:t xml:space="preserve">A személyi feltételekről: elnök – elnökhelyettes </w:t>
      </w:r>
      <w:r w:rsidRPr="004312C4">
        <w:rPr>
          <w:rFonts w:ascii="Times New Roman" w:eastAsia="Times New Roman" w:hAnsi="Times New Roman" w:cs="Times New Roman"/>
          <w:b/>
          <w:bCs/>
          <w:iCs/>
          <w:lang w:eastAsia="hu-HU"/>
        </w:rPr>
        <w:t xml:space="preserve">(májusig) </w:t>
      </w:r>
      <w:r w:rsidR="009C5749" w:rsidRPr="004312C4">
        <w:rPr>
          <w:rFonts w:ascii="Times New Roman" w:eastAsia="Times New Roman" w:hAnsi="Times New Roman" w:cs="Times New Roman"/>
          <w:b/>
          <w:bCs/>
          <w:iCs/>
          <w:lang w:eastAsia="hu-HU"/>
        </w:rPr>
        <w:t xml:space="preserve">– májustól </w:t>
      </w:r>
      <w:r w:rsidRPr="004312C4">
        <w:rPr>
          <w:rFonts w:ascii="Times New Roman" w:eastAsia="Times New Roman" w:hAnsi="Times New Roman" w:cs="Times New Roman"/>
          <w:b/>
          <w:bCs/>
          <w:iCs/>
          <w:lang w:eastAsia="hu-HU"/>
        </w:rPr>
        <w:t xml:space="preserve">25 000 forintos átalánydíjas (1 személy) – és 3 aktív tag vett részt a munkában (májusig </w:t>
      </w:r>
      <w:r w:rsidRPr="004312C4">
        <w:rPr>
          <w:rFonts w:ascii="Times New Roman" w:eastAsia="Times New Roman" w:hAnsi="Times New Roman" w:cs="Times New Roman"/>
          <w:bCs/>
          <w:iCs/>
          <w:lang w:eastAsia="hu-HU"/>
        </w:rPr>
        <w:t>összesen 6, utána 5 személy</w:t>
      </w:r>
      <w:r w:rsidRPr="004312C4">
        <w:rPr>
          <w:rFonts w:ascii="Times New Roman" w:eastAsia="Times New Roman" w:hAnsi="Times New Roman" w:cs="Times New Roman"/>
          <w:b/>
          <w:bCs/>
          <w:iCs/>
          <w:lang w:eastAsia="hu-HU"/>
        </w:rPr>
        <w:t xml:space="preserve">). </w:t>
      </w:r>
    </w:p>
    <w:p w:rsidR="00002898" w:rsidRPr="004312C4" w:rsidRDefault="00002898" w:rsidP="00105EA7">
      <w:pPr>
        <w:rPr>
          <w:rFonts w:ascii="Times New Roman" w:eastAsia="Times New Roman" w:hAnsi="Times New Roman" w:cs="Times New Roman"/>
          <w:bCs/>
          <w:iCs/>
          <w:lang w:eastAsia="hu-HU"/>
        </w:rPr>
      </w:pPr>
      <w:r w:rsidRPr="004312C4">
        <w:rPr>
          <w:rFonts w:ascii="Times New Roman" w:eastAsia="Times New Roman" w:hAnsi="Times New Roman" w:cs="Times New Roman"/>
          <w:bCs/>
          <w:iCs/>
          <w:lang w:eastAsia="hu-HU"/>
        </w:rPr>
        <w:t>Ennek következtében a háromtagú tanácsban való eljárásokat úgy lehetett biztosítani, hogy az elnök-elnökhelyettes májusig szinte valamennyi ügyben tagként vett részt. Az átalánydíjjal szeptembertől munkát végző jogász, egyedül járhatott el – így sikerült biztosítani a 317 befejezést. (Az egyéb adatokat a 3.2. pontnál közöltük.)</w:t>
      </w:r>
    </w:p>
    <w:p w:rsidR="00002898" w:rsidRPr="004312C4" w:rsidRDefault="00002898" w:rsidP="00105EA7">
      <w:pPr>
        <w:rPr>
          <w:rFonts w:ascii="Times New Roman" w:eastAsia="Times New Roman" w:hAnsi="Times New Roman" w:cs="Times New Roman"/>
          <w:bCs/>
          <w:iCs/>
          <w:lang w:eastAsia="hu-HU"/>
        </w:rPr>
      </w:pPr>
    </w:p>
    <w:p w:rsidR="00002898" w:rsidRPr="004718FA" w:rsidRDefault="00002898" w:rsidP="00105EA7">
      <w:pPr>
        <w:numPr>
          <w:ilvl w:val="0"/>
          <w:numId w:val="12"/>
        </w:numPr>
        <w:tabs>
          <w:tab w:val="left" w:pos="284"/>
        </w:tabs>
        <w:ind w:left="0" w:firstLine="0"/>
        <w:rPr>
          <w:rFonts w:ascii="Times New Roman" w:eastAsia="Times New Roman" w:hAnsi="Times New Roman" w:cs="Times New Roman"/>
          <w:b/>
          <w:i/>
          <w:lang w:eastAsia="hu-HU"/>
        </w:rPr>
      </w:pPr>
      <w:r w:rsidRPr="004312C4">
        <w:rPr>
          <w:rFonts w:ascii="Times New Roman" w:eastAsia="Times New Roman" w:hAnsi="Times New Roman" w:cs="Times New Roman"/>
          <w:bCs/>
          <w:iCs/>
          <w:lang w:eastAsia="hu-HU"/>
        </w:rPr>
        <w:t>Meg kell jegyezni, hogy a békéltető testület nem hivatali apparátus, nincs állandó jelenlét, és ez nem is lehet követelmény a jövőben sem. Ezért lenne nagyon lényeges az olyan központilag biztosított informatikai háttér (</w:t>
      </w:r>
      <w:r w:rsidR="009261E5" w:rsidRPr="004312C4">
        <w:rPr>
          <w:rFonts w:ascii="Times New Roman" w:eastAsia="Times New Roman" w:hAnsi="Times New Roman" w:cs="Times New Roman"/>
          <w:bCs/>
          <w:iCs/>
          <w:lang w:eastAsia="hu-HU"/>
        </w:rPr>
        <w:t xml:space="preserve">pl. </w:t>
      </w:r>
      <w:r w:rsidRPr="004312C4">
        <w:rPr>
          <w:rFonts w:ascii="Times New Roman" w:eastAsia="Times New Roman" w:hAnsi="Times New Roman" w:cs="Times New Roman"/>
          <w:bCs/>
          <w:iCs/>
          <w:lang w:eastAsia="hu-HU"/>
        </w:rPr>
        <w:t xml:space="preserve">adatokra, </w:t>
      </w:r>
      <w:r w:rsidR="009261E5" w:rsidRPr="004312C4">
        <w:rPr>
          <w:rFonts w:ascii="Times New Roman" w:eastAsia="Times New Roman" w:hAnsi="Times New Roman" w:cs="Times New Roman"/>
          <w:bCs/>
          <w:iCs/>
          <w:lang w:eastAsia="hu-HU"/>
        </w:rPr>
        <w:t xml:space="preserve">honlapra), amely megkönnyítené a vezetés munkáját (is). Mivel nem apparátusként, alkalmazottként működik a szervezet, ezért tettük mindig szóvá, ha </w:t>
      </w:r>
      <w:r w:rsidR="004312C4">
        <w:rPr>
          <w:rFonts w:ascii="Times New Roman" w:eastAsia="Times New Roman" w:hAnsi="Times New Roman" w:cs="Times New Roman"/>
          <w:bCs/>
          <w:iCs/>
          <w:lang w:eastAsia="hu-HU"/>
        </w:rPr>
        <w:t>olyan</w:t>
      </w:r>
      <w:r w:rsidR="009261E5" w:rsidRPr="004312C4">
        <w:rPr>
          <w:rFonts w:ascii="Times New Roman" w:eastAsia="Times New Roman" w:hAnsi="Times New Roman" w:cs="Times New Roman"/>
          <w:bCs/>
          <w:iCs/>
          <w:lang w:eastAsia="hu-HU"/>
        </w:rPr>
        <w:t xml:space="preserve"> feladatokat kapott a testület, </w:t>
      </w:r>
      <w:r w:rsidR="004312C4">
        <w:rPr>
          <w:rFonts w:ascii="Times New Roman" w:eastAsia="Times New Roman" w:hAnsi="Times New Roman" w:cs="Times New Roman"/>
          <w:bCs/>
          <w:iCs/>
          <w:lang w:eastAsia="hu-HU"/>
        </w:rPr>
        <w:t>amelyre csak</w:t>
      </w:r>
      <w:r w:rsidR="009261E5" w:rsidRPr="004312C4">
        <w:rPr>
          <w:rFonts w:ascii="Times New Roman" w:eastAsia="Times New Roman" w:hAnsi="Times New Roman" w:cs="Times New Roman"/>
          <w:bCs/>
          <w:iCs/>
          <w:lang w:eastAsia="hu-HU"/>
        </w:rPr>
        <w:t xml:space="preserve"> néh</w:t>
      </w:r>
      <w:r w:rsidR="004312C4">
        <w:rPr>
          <w:rFonts w:ascii="Times New Roman" w:eastAsia="Times New Roman" w:hAnsi="Times New Roman" w:cs="Times New Roman"/>
          <w:bCs/>
          <w:iCs/>
          <w:lang w:eastAsia="hu-HU"/>
        </w:rPr>
        <w:t>ány napos teljesítési határidőt biztosítottak</w:t>
      </w:r>
      <w:r w:rsidR="009261E5" w:rsidRPr="004312C4">
        <w:rPr>
          <w:rFonts w:ascii="Times New Roman" w:eastAsia="Times New Roman" w:hAnsi="Times New Roman" w:cs="Times New Roman"/>
          <w:bCs/>
          <w:iCs/>
          <w:lang w:eastAsia="hu-HU"/>
        </w:rPr>
        <w:t xml:space="preserve">. </w:t>
      </w:r>
      <w:r w:rsidR="004312C4">
        <w:rPr>
          <w:rFonts w:ascii="Times New Roman" w:eastAsia="Times New Roman" w:hAnsi="Times New Roman" w:cs="Times New Roman"/>
          <w:bCs/>
          <w:iCs/>
          <w:lang w:eastAsia="hu-HU"/>
        </w:rPr>
        <w:t xml:space="preserve">Azt is „sérelmezzük”, hogy a kifejezett kérés ellenére nem kapunk visszajelzést az országosan összesített adatokról, esetekről. </w:t>
      </w:r>
      <w:r w:rsidR="004718FA">
        <w:rPr>
          <w:rFonts w:ascii="Times New Roman" w:eastAsia="Times New Roman" w:hAnsi="Times New Roman" w:cs="Times New Roman"/>
          <w:bCs/>
          <w:iCs/>
          <w:lang w:eastAsia="hu-HU"/>
        </w:rPr>
        <w:t xml:space="preserve">[pl. </w:t>
      </w:r>
      <w:r w:rsidR="004718FA">
        <w:rPr>
          <w:rFonts w:ascii="Times New Roman" w:eastAsia="Times New Roman" w:hAnsi="Times New Roman" w:cs="Times New Roman"/>
          <w:lang w:eastAsia="hu-HU"/>
        </w:rPr>
        <w:t>k</w:t>
      </w:r>
      <w:r w:rsidR="004718FA" w:rsidRPr="004718FA">
        <w:rPr>
          <w:rFonts w:ascii="Times New Roman" w:eastAsia="Times New Roman" w:hAnsi="Times New Roman" w:cs="Times New Roman"/>
          <w:lang w:eastAsia="hu-HU"/>
        </w:rPr>
        <w:t>issé „barátságtalan” lépésnek értékeltük, hogy 2015. június 29-én (hétfőn) adták le a felkérést, és 2015. július</w:t>
      </w:r>
      <w:r w:rsidR="004718FA">
        <w:rPr>
          <w:rFonts w:ascii="Times New Roman" w:eastAsia="Times New Roman" w:hAnsi="Times New Roman" w:cs="Times New Roman"/>
          <w:lang w:eastAsia="hu-HU"/>
        </w:rPr>
        <w:t xml:space="preserve"> 3-ra (péntek) kérték a választ egy országos kutatáshoz; ugyancsak nehezményeztük a 2015. december 1-jén (kedd 10 óra) érkezett felhívást, hogy 2015. december 3-ig (csütörtök) adjunk tájékoztatást a támogató minisztérium kérésének megfelelően a törvénymódosítás utáni számokról, „eredményekről”</w:t>
      </w:r>
      <w:r w:rsidR="004718FA" w:rsidRPr="004718FA">
        <w:rPr>
          <w:rFonts w:ascii="Times New Roman" w:eastAsia="Times New Roman" w:hAnsi="Times New Roman" w:cs="Times New Roman"/>
          <w:bCs/>
          <w:iCs/>
          <w:lang w:eastAsia="hu-HU"/>
        </w:rPr>
        <w:t>]</w:t>
      </w:r>
    </w:p>
    <w:p w:rsidR="009261E5" w:rsidRPr="004312C4" w:rsidRDefault="009261E5" w:rsidP="00105EA7">
      <w:pPr>
        <w:rPr>
          <w:rFonts w:ascii="Times New Roman" w:eastAsia="Times New Roman" w:hAnsi="Times New Roman" w:cs="Times New Roman"/>
          <w:bCs/>
          <w:iCs/>
          <w:lang w:eastAsia="hu-HU"/>
        </w:rPr>
      </w:pPr>
    </w:p>
    <w:p w:rsidR="009261E5" w:rsidRPr="004312C4" w:rsidRDefault="009261E5" w:rsidP="00105EA7">
      <w:pPr>
        <w:rPr>
          <w:rFonts w:ascii="Times New Roman" w:eastAsia="Times New Roman" w:hAnsi="Times New Roman" w:cs="Times New Roman"/>
          <w:bCs/>
          <w:iCs/>
          <w:lang w:eastAsia="hu-HU"/>
        </w:rPr>
      </w:pPr>
      <w:r w:rsidRPr="004312C4">
        <w:rPr>
          <w:rFonts w:ascii="Times New Roman" w:eastAsia="Times New Roman" w:hAnsi="Times New Roman" w:cs="Times New Roman"/>
          <w:bCs/>
          <w:iCs/>
          <w:lang w:eastAsia="hu-HU"/>
        </w:rPr>
        <w:t>A tárgyi feltételekben nincs változás, évek óta jó színvonalon megkap</w:t>
      </w:r>
      <w:r w:rsidR="008660DB">
        <w:rPr>
          <w:rFonts w:ascii="Times New Roman" w:eastAsia="Times New Roman" w:hAnsi="Times New Roman" w:cs="Times New Roman"/>
          <w:bCs/>
          <w:iCs/>
          <w:lang w:eastAsia="hu-HU"/>
        </w:rPr>
        <w:t>juk a szükséges tárgyi eszköz</w:t>
      </w:r>
      <w:r w:rsidRPr="004312C4">
        <w:rPr>
          <w:rFonts w:ascii="Times New Roman" w:eastAsia="Times New Roman" w:hAnsi="Times New Roman" w:cs="Times New Roman"/>
          <w:bCs/>
          <w:iCs/>
          <w:lang w:eastAsia="hu-HU"/>
        </w:rPr>
        <w:t>t. Biztosított a nagyobb tárgyaló igénybevétele is – ha az szükségessé válik.</w:t>
      </w:r>
      <w:r w:rsidR="008660DB">
        <w:rPr>
          <w:rFonts w:ascii="Times New Roman" w:eastAsia="Times New Roman" w:hAnsi="Times New Roman" w:cs="Times New Roman"/>
          <w:bCs/>
          <w:iCs/>
          <w:lang w:eastAsia="hu-HU"/>
        </w:rPr>
        <w:t xml:space="preserve"> Változatlanul megoldott a parkolás is, nemcsak a testület tagjainak, hanem esetenként a meghallgatásra érkező ügyfeleknek is.</w:t>
      </w:r>
    </w:p>
    <w:p w:rsidR="00002898" w:rsidRPr="004312C4" w:rsidRDefault="00002898" w:rsidP="00105EA7">
      <w:pPr>
        <w:rPr>
          <w:rFonts w:ascii="Times New Roman" w:eastAsia="Times New Roman" w:hAnsi="Times New Roman" w:cs="Times New Roman"/>
          <w:bCs/>
          <w:iCs/>
          <w:lang w:eastAsia="hu-HU"/>
        </w:rPr>
      </w:pPr>
    </w:p>
    <w:p w:rsidR="00002898" w:rsidRPr="004312C4" w:rsidRDefault="00002898" w:rsidP="00105EA7">
      <w:pPr>
        <w:rPr>
          <w:rFonts w:ascii="Times New Roman" w:eastAsia="Times New Roman" w:hAnsi="Times New Roman" w:cs="Times New Roman"/>
          <w:b/>
          <w:bCs/>
          <w:iCs/>
          <w:lang w:eastAsia="hu-HU"/>
        </w:rPr>
      </w:pPr>
      <w:r w:rsidRPr="004312C4">
        <w:rPr>
          <w:rFonts w:ascii="Times New Roman" w:eastAsia="Times New Roman" w:hAnsi="Times New Roman" w:cs="Times New Roman"/>
          <w:b/>
          <w:bCs/>
          <w:iCs/>
          <w:lang w:eastAsia="hu-HU"/>
        </w:rPr>
        <w:t>4.2.  A jogszabályi környezettel kapcsolatosan a megelőző pontokban és a következőkben – is teszünk megjegyzéseket, javaslatokat.</w:t>
      </w:r>
      <w:r w:rsidR="009261E5" w:rsidRPr="004312C4">
        <w:rPr>
          <w:rFonts w:ascii="Times New Roman" w:eastAsia="Times New Roman" w:hAnsi="Times New Roman" w:cs="Times New Roman"/>
          <w:b/>
          <w:bCs/>
          <w:iCs/>
          <w:lang w:eastAsia="hu-HU"/>
        </w:rPr>
        <w:t xml:space="preserve"> </w:t>
      </w:r>
    </w:p>
    <w:p w:rsidR="00002898" w:rsidRPr="004312C4" w:rsidRDefault="00002898" w:rsidP="00105EA7">
      <w:pPr>
        <w:rPr>
          <w:rFonts w:ascii="Times New Roman" w:eastAsia="Times New Roman" w:hAnsi="Times New Roman" w:cs="Times New Roman"/>
          <w:b/>
          <w:bCs/>
          <w:iCs/>
          <w:lang w:eastAsia="hu-HU"/>
        </w:rPr>
      </w:pPr>
    </w:p>
    <w:p w:rsidR="00002898" w:rsidRPr="004312C4" w:rsidRDefault="00002898" w:rsidP="00105EA7">
      <w:pPr>
        <w:rPr>
          <w:rFonts w:ascii="Times New Roman" w:eastAsia="Times New Roman" w:hAnsi="Times New Roman" w:cs="Times New Roman"/>
          <w:b/>
          <w:bCs/>
          <w:iCs/>
          <w:lang w:eastAsia="hu-HU"/>
        </w:rPr>
      </w:pPr>
      <w:r w:rsidRPr="004312C4">
        <w:rPr>
          <w:rFonts w:ascii="Times New Roman" w:eastAsia="Times New Roman" w:hAnsi="Times New Roman" w:cs="Times New Roman"/>
          <w:b/>
          <w:bCs/>
          <w:iCs/>
          <w:lang w:eastAsia="hu-HU"/>
        </w:rPr>
        <w:t>4.3.</w:t>
      </w:r>
      <w:r w:rsidR="009261E5" w:rsidRPr="004312C4">
        <w:rPr>
          <w:rFonts w:ascii="Times New Roman" w:eastAsia="Times New Roman" w:hAnsi="Times New Roman" w:cs="Times New Roman"/>
          <w:b/>
          <w:bCs/>
          <w:iCs/>
          <w:lang w:eastAsia="hu-HU"/>
        </w:rPr>
        <w:t xml:space="preserve"> A finanszí</w:t>
      </w:r>
      <w:r w:rsidR="004312C4">
        <w:rPr>
          <w:rFonts w:ascii="Times New Roman" w:eastAsia="Times New Roman" w:hAnsi="Times New Roman" w:cs="Times New Roman"/>
          <w:b/>
          <w:bCs/>
          <w:iCs/>
          <w:lang w:eastAsia="hu-HU"/>
        </w:rPr>
        <w:t>rozás változatlanul – kimondva-</w:t>
      </w:r>
      <w:r w:rsidR="009261E5" w:rsidRPr="004312C4">
        <w:rPr>
          <w:rFonts w:ascii="Times New Roman" w:eastAsia="Times New Roman" w:hAnsi="Times New Roman" w:cs="Times New Roman"/>
          <w:b/>
          <w:bCs/>
          <w:iCs/>
          <w:lang w:eastAsia="hu-HU"/>
        </w:rPr>
        <w:t>kimondatlanul is – sarkalatos kérdés, és probléma</w:t>
      </w:r>
      <w:r w:rsidR="00F11A5F">
        <w:rPr>
          <w:rFonts w:ascii="Times New Roman" w:eastAsia="Times New Roman" w:hAnsi="Times New Roman" w:cs="Times New Roman"/>
          <w:b/>
          <w:bCs/>
          <w:iCs/>
          <w:lang w:eastAsia="hu-HU"/>
        </w:rPr>
        <w:t xml:space="preserve"> (lásd pl. a 3.2 pontot is)</w:t>
      </w:r>
      <w:r w:rsidR="009261E5" w:rsidRPr="004312C4">
        <w:rPr>
          <w:rFonts w:ascii="Times New Roman" w:eastAsia="Times New Roman" w:hAnsi="Times New Roman" w:cs="Times New Roman"/>
          <w:b/>
          <w:bCs/>
          <w:iCs/>
          <w:lang w:eastAsia="hu-HU"/>
        </w:rPr>
        <w:t xml:space="preserve">. </w:t>
      </w:r>
    </w:p>
    <w:p w:rsidR="00A962B5" w:rsidRPr="004312C4" w:rsidRDefault="00A962B5" w:rsidP="00105EA7">
      <w:pPr>
        <w:rPr>
          <w:rFonts w:ascii="Times New Roman" w:eastAsia="Times New Roman" w:hAnsi="Times New Roman" w:cs="Times New Roman"/>
          <w:b/>
          <w:bCs/>
          <w:iCs/>
          <w:lang w:eastAsia="hu-HU"/>
        </w:rPr>
      </w:pPr>
    </w:p>
    <w:p w:rsidR="00A962B5" w:rsidRPr="004312C4" w:rsidRDefault="00A962B5" w:rsidP="00105EA7">
      <w:pPr>
        <w:rPr>
          <w:rFonts w:ascii="Times New Roman" w:eastAsia="Times New Roman" w:hAnsi="Times New Roman" w:cs="Times New Roman"/>
          <w:b/>
          <w:bCs/>
          <w:iCs/>
          <w:lang w:eastAsia="hu-HU"/>
        </w:rPr>
      </w:pPr>
      <w:r w:rsidRPr="004312C4">
        <w:rPr>
          <w:rFonts w:ascii="Times New Roman" w:eastAsia="Times New Roman" w:hAnsi="Times New Roman" w:cs="Times New Roman"/>
          <w:b/>
          <w:bCs/>
          <w:iCs/>
          <w:lang w:eastAsia="hu-HU"/>
        </w:rPr>
        <w:t>4.4. A Kamarával való együttműködés továbbra is igen konstruktív, mindennapos, a problémákat érzékenyen felfogó és megoldására törekvő. Különösen tapintható volt ez az új testület összetételével kapcsolatosan. A Kamara elnökével, főtitkárával, a szakterületek vezetőivel is rendszeres a konzultáció, de a szakapparátus is készségesen segíti a tevékenységünket.</w:t>
      </w:r>
    </w:p>
    <w:p w:rsidR="00A962B5" w:rsidRPr="004312C4" w:rsidRDefault="00A962B5" w:rsidP="00105EA7">
      <w:pPr>
        <w:rPr>
          <w:rFonts w:ascii="Times New Roman" w:eastAsia="Times New Roman" w:hAnsi="Times New Roman" w:cs="Times New Roman"/>
          <w:b/>
          <w:bCs/>
          <w:iCs/>
          <w:lang w:eastAsia="hu-HU"/>
        </w:rPr>
      </w:pPr>
    </w:p>
    <w:p w:rsidR="00A962B5" w:rsidRDefault="00A962B5" w:rsidP="00105EA7">
      <w:pPr>
        <w:rPr>
          <w:rFonts w:ascii="Times New Roman" w:eastAsia="Times New Roman" w:hAnsi="Times New Roman" w:cs="Times New Roman"/>
          <w:b/>
          <w:bCs/>
          <w:iCs/>
          <w:lang w:eastAsia="hu-HU"/>
        </w:rPr>
      </w:pPr>
      <w:r w:rsidRPr="004312C4">
        <w:rPr>
          <w:rFonts w:ascii="Times New Roman" w:eastAsia="Times New Roman" w:hAnsi="Times New Roman" w:cs="Times New Roman"/>
          <w:b/>
          <w:bCs/>
          <w:iCs/>
          <w:lang w:eastAsia="hu-HU"/>
        </w:rPr>
        <w:t>4.5. A fogyasztóvédelmi hatósággal és más, elsősorban érdekképviseleti szervekkel elvszerű, korrekt a kapcsolat.</w:t>
      </w:r>
    </w:p>
    <w:p w:rsidR="008660DB" w:rsidRDefault="008660DB" w:rsidP="00105EA7">
      <w:pPr>
        <w:rPr>
          <w:rFonts w:ascii="Times New Roman" w:eastAsia="Times New Roman" w:hAnsi="Times New Roman" w:cs="Times New Roman"/>
          <w:b/>
          <w:bCs/>
          <w:iCs/>
          <w:lang w:eastAsia="hu-HU"/>
        </w:rPr>
      </w:pPr>
    </w:p>
    <w:p w:rsidR="008660DB" w:rsidRPr="004312C4" w:rsidRDefault="008660DB" w:rsidP="00105EA7">
      <w:pPr>
        <w:rPr>
          <w:rFonts w:ascii="Times New Roman" w:eastAsia="Times New Roman" w:hAnsi="Times New Roman" w:cs="Times New Roman"/>
          <w:b/>
          <w:bCs/>
          <w:iCs/>
          <w:lang w:eastAsia="hu-HU"/>
        </w:rPr>
      </w:pPr>
    </w:p>
    <w:p w:rsidR="00A962B5" w:rsidRPr="009261E5" w:rsidRDefault="00A962B5" w:rsidP="00105EA7">
      <w:pPr>
        <w:rPr>
          <w:rFonts w:ascii="Times New Roman" w:eastAsia="Times New Roman" w:hAnsi="Times New Roman" w:cs="Times New Roman"/>
          <w:bCs/>
          <w:iCs/>
          <w:sz w:val="22"/>
          <w:szCs w:val="22"/>
          <w:lang w:eastAsia="hu-HU"/>
        </w:rPr>
      </w:pPr>
    </w:p>
    <w:p w:rsidR="00105EA7" w:rsidRPr="009C5749" w:rsidRDefault="00105EA7" w:rsidP="00920ADB">
      <w:pPr>
        <w:rPr>
          <w:rFonts w:ascii="Times New Roman" w:hAnsi="Times New Roman" w:cs="Times New Roman"/>
          <w:b/>
          <w:bCs/>
          <w:i/>
          <w:iCs/>
          <w:sz w:val="28"/>
          <w:szCs w:val="28"/>
          <w:u w:val="single"/>
        </w:rPr>
      </w:pPr>
      <w:r w:rsidRPr="009C5749">
        <w:rPr>
          <w:rFonts w:ascii="Times New Roman" w:hAnsi="Times New Roman" w:cs="Times New Roman"/>
          <w:b/>
          <w:bCs/>
          <w:i/>
          <w:iCs/>
          <w:sz w:val="28"/>
          <w:szCs w:val="28"/>
          <w:u w:val="single"/>
        </w:rPr>
        <w:t>5. Ismertesse a testületeket, illetve a fogyasztóvédelmet érintő esetleges jogi szabályozásra vonatkozó észrevételeit, javaslatait!</w:t>
      </w:r>
    </w:p>
    <w:p w:rsidR="00105EA7" w:rsidRDefault="00105EA7" w:rsidP="00105EA7">
      <w:pPr>
        <w:rPr>
          <w:rFonts w:ascii="Times New Roman" w:hAnsi="Times New Roman" w:cs="Times New Roman"/>
          <w:bCs/>
          <w:iCs/>
        </w:rPr>
      </w:pPr>
    </w:p>
    <w:p w:rsidR="00105EA7" w:rsidRPr="004312C4" w:rsidRDefault="00F7480F" w:rsidP="00105EA7">
      <w:pPr>
        <w:rPr>
          <w:rFonts w:ascii="Times New Roman" w:hAnsi="Times New Roman" w:cs="Times New Roman"/>
          <w:bCs/>
          <w:iCs/>
        </w:rPr>
      </w:pPr>
      <w:r w:rsidRPr="004312C4">
        <w:rPr>
          <w:rFonts w:ascii="Times New Roman" w:hAnsi="Times New Roman" w:cs="Times New Roman"/>
          <w:b/>
          <w:bCs/>
          <w:iCs/>
        </w:rPr>
        <w:t xml:space="preserve">5.1. </w:t>
      </w:r>
      <w:r w:rsidR="00105EA7" w:rsidRPr="004312C4">
        <w:rPr>
          <w:rFonts w:ascii="Times New Roman" w:hAnsi="Times New Roman" w:cs="Times New Roman"/>
          <w:bCs/>
          <w:iCs/>
        </w:rPr>
        <w:t xml:space="preserve">A jogi szabályozással kapcsolatosan </w:t>
      </w:r>
      <w:r w:rsidR="009A4F0F" w:rsidRPr="004312C4">
        <w:rPr>
          <w:rFonts w:ascii="Times New Roman" w:hAnsi="Times New Roman" w:cs="Times New Roman"/>
          <w:bCs/>
          <w:iCs/>
        </w:rPr>
        <w:t xml:space="preserve">– nemcsak a Fgytv. érintően - </w:t>
      </w:r>
      <w:r w:rsidR="00105EA7" w:rsidRPr="004312C4">
        <w:rPr>
          <w:rFonts w:ascii="Times New Roman" w:hAnsi="Times New Roman" w:cs="Times New Roman"/>
          <w:bCs/>
          <w:iCs/>
        </w:rPr>
        <w:t>már a megelőző pontokban is tettünk megje</w:t>
      </w:r>
      <w:r w:rsidR="009A4F0F" w:rsidRPr="004312C4">
        <w:rPr>
          <w:rFonts w:ascii="Times New Roman" w:hAnsi="Times New Roman" w:cs="Times New Roman"/>
          <w:bCs/>
          <w:iCs/>
        </w:rPr>
        <w:t>gyzéseket</w:t>
      </w:r>
      <w:r w:rsidR="008660DB">
        <w:rPr>
          <w:rFonts w:ascii="Times New Roman" w:hAnsi="Times New Roman" w:cs="Times New Roman"/>
          <w:bCs/>
          <w:iCs/>
        </w:rPr>
        <w:t>,l</w:t>
      </w:r>
      <w:r w:rsidR="009A4F0F" w:rsidRPr="004312C4">
        <w:rPr>
          <w:rFonts w:ascii="Times New Roman" w:hAnsi="Times New Roman" w:cs="Times New Roman"/>
          <w:bCs/>
          <w:iCs/>
        </w:rPr>
        <w:t xml:space="preserve"> észrevételeket, azok közül</w:t>
      </w:r>
      <w:r w:rsidR="00105EA7" w:rsidRPr="004312C4">
        <w:rPr>
          <w:rFonts w:ascii="Times New Roman" w:hAnsi="Times New Roman" w:cs="Times New Roman"/>
          <w:bCs/>
          <w:iCs/>
        </w:rPr>
        <w:t xml:space="preserve"> itt most csak </w:t>
      </w:r>
      <w:r w:rsidR="009A4F0F" w:rsidRPr="004312C4">
        <w:rPr>
          <w:rFonts w:ascii="Times New Roman" w:hAnsi="Times New Roman" w:cs="Times New Roman"/>
          <w:bCs/>
          <w:iCs/>
        </w:rPr>
        <w:t xml:space="preserve">az alábbiakra </w:t>
      </w:r>
      <w:r w:rsidR="00105EA7" w:rsidRPr="004312C4">
        <w:rPr>
          <w:rFonts w:ascii="Times New Roman" w:hAnsi="Times New Roman" w:cs="Times New Roman"/>
          <w:bCs/>
          <w:iCs/>
        </w:rPr>
        <w:t>utalunk</w:t>
      </w:r>
      <w:r w:rsidR="00A962B5" w:rsidRPr="004312C4">
        <w:rPr>
          <w:rFonts w:ascii="Times New Roman" w:hAnsi="Times New Roman" w:cs="Times New Roman"/>
          <w:bCs/>
          <w:iCs/>
        </w:rPr>
        <w:t xml:space="preserve">, illetve vetünk fel </w:t>
      </w:r>
      <w:r w:rsidR="008660DB">
        <w:rPr>
          <w:rFonts w:ascii="Times New Roman" w:hAnsi="Times New Roman" w:cs="Times New Roman"/>
          <w:bCs/>
          <w:iCs/>
        </w:rPr>
        <w:t xml:space="preserve">közülük </w:t>
      </w:r>
      <w:r w:rsidR="00A962B5" w:rsidRPr="004312C4">
        <w:rPr>
          <w:rFonts w:ascii="Times New Roman" w:hAnsi="Times New Roman" w:cs="Times New Roman"/>
          <w:bCs/>
          <w:iCs/>
        </w:rPr>
        <w:t>egyeseket</w:t>
      </w:r>
      <w:r w:rsidR="00105EA7" w:rsidRPr="004312C4">
        <w:rPr>
          <w:rFonts w:ascii="Times New Roman" w:hAnsi="Times New Roman" w:cs="Times New Roman"/>
          <w:bCs/>
          <w:iCs/>
        </w:rPr>
        <w:t>:</w:t>
      </w:r>
    </w:p>
    <w:p w:rsidR="009A4F0F" w:rsidRPr="004312C4" w:rsidRDefault="009A4F0F" w:rsidP="009A4F0F">
      <w:pPr>
        <w:pStyle w:val="Listaszerbekezds"/>
        <w:numPr>
          <w:ilvl w:val="0"/>
          <w:numId w:val="9"/>
        </w:numPr>
        <w:tabs>
          <w:tab w:val="left" w:pos="284"/>
        </w:tabs>
        <w:ind w:left="0" w:firstLine="0"/>
        <w:rPr>
          <w:rFonts w:ascii="Times New Roman" w:hAnsi="Times New Roman" w:cs="Times New Roman"/>
          <w:bCs/>
          <w:iCs/>
        </w:rPr>
      </w:pPr>
      <w:r w:rsidRPr="004312C4">
        <w:rPr>
          <w:rFonts w:ascii="Times New Roman" w:hAnsi="Times New Roman" w:cs="Times New Roman"/>
          <w:bCs/>
          <w:iCs/>
        </w:rPr>
        <w:t>A „vizes ügyeknél” az elfolyással kapcsolatos szabály pontosítása (2.1.3.</w:t>
      </w:r>
      <w:r w:rsidR="004312C4">
        <w:rPr>
          <w:rFonts w:ascii="Times New Roman" w:hAnsi="Times New Roman" w:cs="Times New Roman"/>
          <w:bCs/>
          <w:iCs/>
        </w:rPr>
        <w:t xml:space="preserve"> pontál</w:t>
      </w:r>
      <w:r w:rsidRPr="004312C4">
        <w:rPr>
          <w:rFonts w:ascii="Times New Roman" w:hAnsi="Times New Roman" w:cs="Times New Roman"/>
          <w:bCs/>
          <w:iCs/>
        </w:rPr>
        <w:t>);</w:t>
      </w:r>
    </w:p>
    <w:p w:rsidR="009A4F0F" w:rsidRPr="004312C4" w:rsidRDefault="009A4F0F" w:rsidP="009A4F0F">
      <w:pPr>
        <w:pStyle w:val="Listaszerbekezds"/>
        <w:numPr>
          <w:ilvl w:val="0"/>
          <w:numId w:val="9"/>
        </w:numPr>
        <w:tabs>
          <w:tab w:val="left" w:pos="284"/>
        </w:tabs>
        <w:ind w:left="0" w:firstLine="0"/>
        <w:rPr>
          <w:rFonts w:ascii="Times New Roman" w:hAnsi="Times New Roman" w:cs="Times New Roman"/>
          <w:bCs/>
          <w:iCs/>
        </w:rPr>
      </w:pPr>
      <w:r w:rsidRPr="004312C4">
        <w:rPr>
          <w:rFonts w:ascii="Times New Roman" w:hAnsi="Times New Roman" w:cs="Times New Roman"/>
          <w:bCs/>
          <w:iCs/>
        </w:rPr>
        <w:t>a székhelyen való kézbesítés (2.6.</w:t>
      </w:r>
      <w:r w:rsidR="004312C4">
        <w:rPr>
          <w:rFonts w:ascii="Times New Roman" w:hAnsi="Times New Roman" w:cs="Times New Roman"/>
          <w:bCs/>
          <w:iCs/>
        </w:rPr>
        <w:t xml:space="preserve"> pontnál</w:t>
      </w:r>
      <w:r w:rsidRPr="004312C4">
        <w:rPr>
          <w:rFonts w:ascii="Times New Roman" w:hAnsi="Times New Roman" w:cs="Times New Roman"/>
          <w:bCs/>
          <w:iCs/>
        </w:rPr>
        <w:t>)</w:t>
      </w:r>
      <w:r w:rsidR="00A962B5" w:rsidRPr="004312C4">
        <w:rPr>
          <w:rFonts w:ascii="Times New Roman" w:hAnsi="Times New Roman" w:cs="Times New Roman"/>
          <w:bCs/>
          <w:iCs/>
        </w:rPr>
        <w:t>,</w:t>
      </w:r>
    </w:p>
    <w:p w:rsidR="00A962B5" w:rsidRPr="004312C4" w:rsidRDefault="00A962B5" w:rsidP="009A4F0F">
      <w:pPr>
        <w:pStyle w:val="Listaszerbekezds"/>
        <w:numPr>
          <w:ilvl w:val="0"/>
          <w:numId w:val="9"/>
        </w:numPr>
        <w:tabs>
          <w:tab w:val="left" w:pos="284"/>
        </w:tabs>
        <w:ind w:left="0" w:firstLine="0"/>
        <w:rPr>
          <w:rFonts w:ascii="Times New Roman" w:hAnsi="Times New Roman" w:cs="Times New Roman"/>
          <w:bCs/>
          <w:iCs/>
        </w:rPr>
      </w:pPr>
      <w:r w:rsidRPr="004312C4">
        <w:rPr>
          <w:rFonts w:ascii="Times New Roman" w:hAnsi="Times New Roman" w:cs="Times New Roman"/>
          <w:bCs/>
          <w:iCs/>
        </w:rPr>
        <w:t>célszerű lenne a közszolgáltatások területén egységesíteni (és eltéríteni a Ptk</w:t>
      </w:r>
      <w:r w:rsidR="004312C4">
        <w:rPr>
          <w:rFonts w:ascii="Times New Roman" w:hAnsi="Times New Roman" w:cs="Times New Roman"/>
          <w:bCs/>
          <w:iCs/>
        </w:rPr>
        <w:t>.</w:t>
      </w:r>
      <w:r w:rsidRPr="004312C4">
        <w:rPr>
          <w:rFonts w:ascii="Times New Roman" w:hAnsi="Times New Roman" w:cs="Times New Roman"/>
          <w:bCs/>
          <w:iCs/>
        </w:rPr>
        <w:t xml:space="preserve"> öt éves általános elévülési szabályától) a bevált rövidebb határidejű elévülést;</w:t>
      </w:r>
    </w:p>
    <w:p w:rsidR="00A962B5" w:rsidRPr="004312C4" w:rsidRDefault="00A962B5" w:rsidP="00A962B5">
      <w:pPr>
        <w:pStyle w:val="Listaszerbekezds"/>
        <w:numPr>
          <w:ilvl w:val="0"/>
          <w:numId w:val="9"/>
        </w:numPr>
        <w:tabs>
          <w:tab w:val="left" w:pos="284"/>
        </w:tabs>
        <w:ind w:left="0" w:firstLine="0"/>
        <w:rPr>
          <w:rFonts w:ascii="Times New Roman" w:hAnsi="Times New Roman" w:cs="Times New Roman"/>
          <w:bCs/>
          <w:iCs/>
        </w:rPr>
      </w:pPr>
      <w:r w:rsidRPr="004312C4">
        <w:rPr>
          <w:rFonts w:ascii="Times New Roman" w:hAnsi="Times New Roman" w:cs="Times New Roman"/>
          <w:bCs/>
          <w:iCs/>
        </w:rPr>
        <w:t>a számlaképen történő változtatás</w:t>
      </w:r>
      <w:r w:rsidR="004312C4">
        <w:rPr>
          <w:rFonts w:ascii="Times New Roman" w:hAnsi="Times New Roman" w:cs="Times New Roman"/>
          <w:bCs/>
          <w:iCs/>
        </w:rPr>
        <w:t>t elsősorban az idősebb korosztály érdekében tartjuk fontosnak, hogy könnyebben láthassa, ha esetlegesen tartozást tartanak nyilván a folyószámláján – arról ne a számla második oldalán az apró betűs részben kapjon tájékoztatást, hanem szembetűnően már az első sorokban</w:t>
      </w:r>
      <w:r w:rsidRPr="004312C4">
        <w:rPr>
          <w:rFonts w:ascii="Times New Roman" w:hAnsi="Times New Roman" w:cs="Times New Roman"/>
          <w:bCs/>
          <w:iCs/>
        </w:rPr>
        <w:t xml:space="preserve"> (2.1.4.4. pontban);</w:t>
      </w:r>
    </w:p>
    <w:p w:rsidR="00A962B5" w:rsidRPr="004312C4" w:rsidRDefault="00A962B5" w:rsidP="00A962B5">
      <w:pPr>
        <w:pStyle w:val="Listaszerbekezds"/>
        <w:numPr>
          <w:ilvl w:val="0"/>
          <w:numId w:val="9"/>
        </w:numPr>
        <w:tabs>
          <w:tab w:val="left" w:pos="284"/>
        </w:tabs>
        <w:ind w:left="0" w:firstLine="0"/>
        <w:rPr>
          <w:rFonts w:ascii="Times New Roman" w:hAnsi="Times New Roman" w:cs="Times New Roman"/>
          <w:bCs/>
          <w:iCs/>
        </w:rPr>
      </w:pPr>
      <w:r w:rsidRPr="004312C4">
        <w:rPr>
          <w:rFonts w:ascii="Times New Roman" w:hAnsi="Times New Roman" w:cs="Times New Roman"/>
          <w:bCs/>
          <w:iCs/>
        </w:rPr>
        <w:t>fogalmak egyértelműsítése (megszüntetés – elutasítás) – 2.4. pontban;</w:t>
      </w:r>
    </w:p>
    <w:p w:rsidR="00A962B5" w:rsidRPr="004312C4" w:rsidRDefault="00A962B5" w:rsidP="00A962B5">
      <w:pPr>
        <w:pStyle w:val="Listaszerbekezds"/>
        <w:numPr>
          <w:ilvl w:val="0"/>
          <w:numId w:val="9"/>
        </w:numPr>
        <w:tabs>
          <w:tab w:val="left" w:pos="284"/>
        </w:tabs>
        <w:ind w:left="0" w:firstLine="0"/>
        <w:rPr>
          <w:rFonts w:ascii="Times New Roman" w:hAnsi="Times New Roman" w:cs="Times New Roman"/>
          <w:bCs/>
          <w:iCs/>
        </w:rPr>
      </w:pPr>
      <w:r w:rsidRPr="004312C4">
        <w:rPr>
          <w:rFonts w:ascii="Times New Roman" w:hAnsi="Times New Roman" w:cs="Times New Roman"/>
          <w:bCs/>
          <w:iCs/>
        </w:rPr>
        <w:t>a döntési rendszer áttekintése és „egy helyen” való elhelyezése (2.5.</w:t>
      </w:r>
      <w:r w:rsidR="004312C4">
        <w:rPr>
          <w:rFonts w:ascii="Times New Roman" w:hAnsi="Times New Roman" w:cs="Times New Roman"/>
          <w:bCs/>
          <w:iCs/>
        </w:rPr>
        <w:t xml:space="preserve"> pontban</w:t>
      </w:r>
      <w:r w:rsidRPr="004312C4">
        <w:rPr>
          <w:rFonts w:ascii="Times New Roman" w:hAnsi="Times New Roman" w:cs="Times New Roman"/>
          <w:bCs/>
          <w:iCs/>
        </w:rPr>
        <w:t>),</w:t>
      </w:r>
    </w:p>
    <w:p w:rsidR="00A962B5" w:rsidRPr="004312C4" w:rsidRDefault="00A962B5" w:rsidP="00A962B5">
      <w:pPr>
        <w:pStyle w:val="Listaszerbekezds"/>
        <w:numPr>
          <w:ilvl w:val="0"/>
          <w:numId w:val="9"/>
        </w:numPr>
        <w:tabs>
          <w:tab w:val="left" w:pos="284"/>
        </w:tabs>
        <w:ind w:left="0" w:firstLine="0"/>
        <w:rPr>
          <w:rFonts w:ascii="Times New Roman" w:hAnsi="Times New Roman" w:cs="Times New Roman"/>
          <w:bCs/>
          <w:iCs/>
        </w:rPr>
      </w:pPr>
      <w:r w:rsidRPr="004312C4">
        <w:rPr>
          <w:rFonts w:ascii="Times New Roman" w:hAnsi="Times New Roman" w:cs="Times New Roman"/>
          <w:bCs/>
          <w:iCs/>
        </w:rPr>
        <w:t>A 60 napos közzétételi szabály felülvizsgálata (2.1.4.3. és a 2.3. pont</w:t>
      </w:r>
      <w:r w:rsidR="004312C4" w:rsidRPr="004312C4">
        <w:rPr>
          <w:rFonts w:ascii="Times New Roman" w:hAnsi="Times New Roman" w:cs="Times New Roman"/>
          <w:bCs/>
          <w:iCs/>
        </w:rPr>
        <w:t>ok</w:t>
      </w:r>
      <w:r w:rsidRPr="004312C4">
        <w:rPr>
          <w:rFonts w:ascii="Times New Roman" w:hAnsi="Times New Roman" w:cs="Times New Roman"/>
          <w:bCs/>
          <w:iCs/>
        </w:rPr>
        <w:t>ban),</w:t>
      </w:r>
    </w:p>
    <w:p w:rsidR="009A4F0F" w:rsidRDefault="009A4F0F" w:rsidP="00105EA7">
      <w:pPr>
        <w:rPr>
          <w:rFonts w:ascii="Times New Roman" w:hAnsi="Times New Roman" w:cs="Times New Roman"/>
          <w:bCs/>
          <w:iCs/>
        </w:rPr>
      </w:pPr>
    </w:p>
    <w:p w:rsidR="00CE386D" w:rsidRDefault="00F7480F" w:rsidP="00CE386D">
      <w:pPr>
        <w:autoSpaceDE w:val="0"/>
        <w:autoSpaceDN w:val="0"/>
        <w:adjustRightInd w:val="0"/>
        <w:rPr>
          <w:rFonts w:ascii="Times New Roman" w:hAnsi="Times New Roman" w:cs="Times New Roman"/>
        </w:rPr>
      </w:pPr>
      <w:r w:rsidRPr="00F7480F">
        <w:rPr>
          <w:rFonts w:ascii="Times New Roman" w:hAnsi="Times New Roman" w:cs="Times New Roman"/>
          <w:b/>
        </w:rPr>
        <w:t>5.2</w:t>
      </w:r>
      <w:r>
        <w:rPr>
          <w:rFonts w:ascii="Times New Roman" w:hAnsi="Times New Roman" w:cs="Times New Roman"/>
        </w:rPr>
        <w:t xml:space="preserve">. </w:t>
      </w:r>
      <w:r w:rsidR="00105EA7">
        <w:rPr>
          <w:rFonts w:ascii="Times New Roman" w:hAnsi="Times New Roman" w:cs="Times New Roman"/>
        </w:rPr>
        <w:t xml:space="preserve">Nagyon fontosnak tartanánk, ha a különböző </w:t>
      </w:r>
      <w:r w:rsidR="00105EA7" w:rsidRPr="004C321B">
        <w:rPr>
          <w:rFonts w:ascii="Times New Roman" w:hAnsi="Times New Roman" w:cs="Times New Roman"/>
          <w:b/>
          <w:i/>
        </w:rPr>
        <w:t>határidők</w:t>
      </w:r>
      <w:r w:rsidR="00105EA7">
        <w:rPr>
          <w:rFonts w:ascii="Times New Roman" w:hAnsi="Times New Roman" w:cs="Times New Roman"/>
        </w:rPr>
        <w:t xml:space="preserve"> </w:t>
      </w:r>
      <w:r w:rsidR="00CE386D">
        <w:rPr>
          <w:rFonts w:ascii="Times New Roman" w:hAnsi="Times New Roman" w:cs="Times New Roman"/>
        </w:rPr>
        <w:t>átgondolásra kerülnének (vonatko</w:t>
      </w:r>
      <w:r w:rsidR="004312C4">
        <w:rPr>
          <w:rFonts w:ascii="Times New Roman" w:hAnsi="Times New Roman" w:cs="Times New Roman"/>
        </w:rPr>
        <w:t>zik ez nemcsak a Fgytv. határidő</w:t>
      </w:r>
      <w:r w:rsidR="00CE386D">
        <w:rPr>
          <w:rFonts w:ascii="Times New Roman" w:hAnsi="Times New Roman" w:cs="Times New Roman"/>
        </w:rPr>
        <w:t>ire), mivel az alkalmazás során néha gondot okoz a figyelemmel kísérése.</w:t>
      </w:r>
    </w:p>
    <w:p w:rsidR="00CE386D" w:rsidRDefault="00CE386D" w:rsidP="00CE386D">
      <w:pPr>
        <w:autoSpaceDE w:val="0"/>
        <w:autoSpaceDN w:val="0"/>
        <w:adjustRightInd w:val="0"/>
        <w:rPr>
          <w:rFonts w:ascii="Times New Roman" w:hAnsi="Times New Roman" w:cs="Times New Roman"/>
        </w:rPr>
      </w:pPr>
    </w:p>
    <w:p w:rsidR="00970997" w:rsidRPr="00490493" w:rsidRDefault="009A4F0F" w:rsidP="00CE386D">
      <w:pPr>
        <w:autoSpaceDE w:val="0"/>
        <w:autoSpaceDN w:val="0"/>
        <w:adjustRightInd w:val="0"/>
        <w:rPr>
          <w:rFonts w:ascii="Times New Roman" w:hAnsi="Times New Roman" w:cs="Times New Roman"/>
          <w:b/>
        </w:rPr>
      </w:pPr>
      <w:r>
        <w:rPr>
          <w:rFonts w:ascii="Times New Roman" w:hAnsi="Times New Roman" w:cs="Times New Roman"/>
          <w:b/>
        </w:rPr>
        <w:t xml:space="preserve">5.2.1. A Fgytv. határidőiről: </w:t>
      </w:r>
      <w:r w:rsidR="00F7480F">
        <w:rPr>
          <w:rFonts w:ascii="Times New Roman" w:hAnsi="Times New Roman" w:cs="Times New Roman"/>
          <w:b/>
        </w:rPr>
        <w:t>„</w:t>
      </w:r>
      <w:r>
        <w:rPr>
          <w:rFonts w:ascii="Times New Roman" w:hAnsi="Times New Roman" w:cs="Times New Roman"/>
          <w:b/>
        </w:rPr>
        <w:t>n</w:t>
      </w:r>
      <w:r w:rsidR="00970997" w:rsidRPr="00490493">
        <w:rPr>
          <w:rFonts w:ascii="Times New Roman" w:hAnsi="Times New Roman" w:cs="Times New Roman"/>
          <w:b/>
        </w:rPr>
        <w:t>yolc nap</w:t>
      </w:r>
      <w:r w:rsidR="00F7480F">
        <w:rPr>
          <w:rFonts w:ascii="Times New Roman" w:hAnsi="Times New Roman" w:cs="Times New Roman"/>
          <w:b/>
        </w:rPr>
        <w:t>”</w:t>
      </w:r>
      <w:r w:rsidR="00970997" w:rsidRPr="00490493">
        <w:rPr>
          <w:rFonts w:ascii="Times New Roman" w:hAnsi="Times New Roman" w:cs="Times New Roman"/>
          <w:b/>
        </w:rPr>
        <w:t xml:space="preserve">, </w:t>
      </w:r>
      <w:r w:rsidR="00F7480F">
        <w:rPr>
          <w:rFonts w:ascii="Times New Roman" w:hAnsi="Times New Roman" w:cs="Times New Roman"/>
          <w:b/>
        </w:rPr>
        <w:t>„</w:t>
      </w:r>
      <w:r w:rsidR="00970997" w:rsidRPr="00490493">
        <w:rPr>
          <w:rFonts w:ascii="Times New Roman" w:hAnsi="Times New Roman" w:cs="Times New Roman"/>
          <w:b/>
        </w:rPr>
        <w:t>tizenöt nap</w:t>
      </w:r>
      <w:r w:rsidR="00F7480F">
        <w:rPr>
          <w:rFonts w:ascii="Times New Roman" w:hAnsi="Times New Roman" w:cs="Times New Roman"/>
          <w:b/>
        </w:rPr>
        <w:t>”</w:t>
      </w:r>
      <w:r w:rsidR="00970997" w:rsidRPr="00490493">
        <w:rPr>
          <w:rFonts w:ascii="Times New Roman" w:hAnsi="Times New Roman" w:cs="Times New Roman"/>
          <w:b/>
        </w:rPr>
        <w:t xml:space="preserve">, </w:t>
      </w:r>
      <w:r w:rsidR="00F7480F">
        <w:rPr>
          <w:rFonts w:ascii="Times New Roman" w:hAnsi="Times New Roman" w:cs="Times New Roman"/>
          <w:b/>
        </w:rPr>
        <w:t>„</w:t>
      </w:r>
      <w:r w:rsidR="00970997" w:rsidRPr="00490493">
        <w:rPr>
          <w:rFonts w:ascii="Times New Roman" w:hAnsi="Times New Roman" w:cs="Times New Roman"/>
          <w:b/>
        </w:rPr>
        <w:t>haladéktalan</w:t>
      </w:r>
      <w:r w:rsidR="00490493" w:rsidRPr="00490493">
        <w:rPr>
          <w:rFonts w:ascii="Times New Roman" w:hAnsi="Times New Roman" w:cs="Times New Roman"/>
          <w:b/>
        </w:rPr>
        <w:t>ul</w:t>
      </w:r>
      <w:r w:rsidR="00F7480F">
        <w:rPr>
          <w:rFonts w:ascii="Times New Roman" w:hAnsi="Times New Roman" w:cs="Times New Roman"/>
          <w:b/>
        </w:rPr>
        <w:t>”</w:t>
      </w:r>
      <w:r w:rsidR="00970997" w:rsidRPr="00490493">
        <w:rPr>
          <w:rFonts w:ascii="Times New Roman" w:hAnsi="Times New Roman" w:cs="Times New Roman"/>
          <w:b/>
        </w:rPr>
        <w:t>,</w:t>
      </w:r>
      <w:r w:rsidR="00F7480F">
        <w:rPr>
          <w:rFonts w:ascii="Times New Roman" w:hAnsi="Times New Roman" w:cs="Times New Roman"/>
          <w:b/>
        </w:rPr>
        <w:t xml:space="preserve"> „kellő időben”,</w:t>
      </w:r>
      <w:r w:rsidR="00970997" w:rsidRPr="00490493">
        <w:rPr>
          <w:rFonts w:ascii="Times New Roman" w:hAnsi="Times New Roman" w:cs="Times New Roman"/>
          <w:b/>
        </w:rPr>
        <w:t xml:space="preserve"> </w:t>
      </w:r>
      <w:r w:rsidR="00F7480F">
        <w:rPr>
          <w:rFonts w:ascii="Times New Roman" w:hAnsi="Times New Roman" w:cs="Times New Roman"/>
          <w:b/>
        </w:rPr>
        <w:t>„</w:t>
      </w:r>
      <w:r w:rsidR="00490493" w:rsidRPr="00490493">
        <w:rPr>
          <w:rFonts w:ascii="Times New Roman" w:hAnsi="Times New Roman" w:cs="Times New Roman"/>
          <w:b/>
        </w:rPr>
        <w:t>ha már nincs elegendő idő</w:t>
      </w:r>
      <w:r w:rsidR="00F7480F">
        <w:rPr>
          <w:rFonts w:ascii="Times New Roman" w:hAnsi="Times New Roman" w:cs="Times New Roman"/>
          <w:b/>
        </w:rPr>
        <w:t>”</w:t>
      </w:r>
      <w:r w:rsidR="00490493" w:rsidRPr="00490493">
        <w:rPr>
          <w:rFonts w:ascii="Times New Roman" w:hAnsi="Times New Roman" w:cs="Times New Roman"/>
          <w:b/>
        </w:rPr>
        <w:t xml:space="preserve">, </w:t>
      </w:r>
      <w:r w:rsidR="00F7480F">
        <w:rPr>
          <w:rFonts w:ascii="Times New Roman" w:hAnsi="Times New Roman" w:cs="Times New Roman"/>
          <w:b/>
        </w:rPr>
        <w:t>„</w:t>
      </w:r>
      <w:r w:rsidR="00490493" w:rsidRPr="00490493">
        <w:rPr>
          <w:rFonts w:ascii="Times New Roman" w:hAnsi="Times New Roman" w:cs="Times New Roman"/>
          <w:b/>
        </w:rPr>
        <w:t>harminc nap</w:t>
      </w:r>
      <w:r w:rsidR="00F7480F">
        <w:rPr>
          <w:rFonts w:ascii="Times New Roman" w:hAnsi="Times New Roman" w:cs="Times New Roman"/>
          <w:b/>
        </w:rPr>
        <w:t>”, „hatvan nap”, illetve a befejezésre ado</w:t>
      </w:r>
      <w:r w:rsidR="004312C4">
        <w:rPr>
          <w:rFonts w:ascii="Times New Roman" w:hAnsi="Times New Roman" w:cs="Times New Roman"/>
          <w:b/>
        </w:rPr>
        <w:t xml:space="preserve">tt 90 napos „záros határidő” a </w:t>
      </w:r>
      <w:r w:rsidR="00F7480F">
        <w:rPr>
          <w:rFonts w:ascii="Times New Roman" w:hAnsi="Times New Roman" w:cs="Times New Roman"/>
          <w:b/>
        </w:rPr>
        <w:t>hosszabbítással</w:t>
      </w:r>
      <w:r w:rsidR="00490493" w:rsidRPr="00490493">
        <w:rPr>
          <w:rFonts w:ascii="Times New Roman" w:hAnsi="Times New Roman" w:cs="Times New Roman"/>
          <w:b/>
        </w:rPr>
        <w:t xml:space="preserve"> – ezek voltak a „megszokott” intervallumok.</w:t>
      </w:r>
    </w:p>
    <w:p w:rsidR="00490493" w:rsidRDefault="00490493" w:rsidP="00CE386D">
      <w:pPr>
        <w:autoSpaceDE w:val="0"/>
        <w:autoSpaceDN w:val="0"/>
        <w:adjustRightInd w:val="0"/>
        <w:rPr>
          <w:rFonts w:ascii="Times New Roman" w:hAnsi="Times New Roman" w:cs="Times New Roman"/>
        </w:rPr>
      </w:pPr>
    </w:p>
    <w:p w:rsidR="00CB1CA9" w:rsidRPr="00CB1CA9" w:rsidRDefault="00CB1CA9" w:rsidP="00CB1CA9">
      <w:pPr>
        <w:pStyle w:val="Listaszerbekezds"/>
        <w:numPr>
          <w:ilvl w:val="0"/>
          <w:numId w:val="7"/>
        </w:numPr>
        <w:tabs>
          <w:tab w:val="left" w:pos="284"/>
        </w:tabs>
        <w:autoSpaceDE w:val="0"/>
        <w:autoSpaceDN w:val="0"/>
        <w:adjustRightInd w:val="0"/>
        <w:ind w:left="0" w:firstLine="0"/>
        <w:rPr>
          <w:rFonts w:ascii="Times New Roman" w:hAnsi="Times New Roman" w:cs="Times New Roman"/>
          <w:i/>
        </w:rPr>
      </w:pPr>
      <w:r w:rsidRPr="00CB1CA9">
        <w:rPr>
          <w:rFonts w:ascii="Times New Roman" w:hAnsi="Times New Roman" w:cs="Times New Roman"/>
        </w:rPr>
        <w:t>A 28. § (5) bekezdése szerint, ha a kérelem nem felel meg a §-ban előírt formai és tartalmi követelményeknek, akkor az elnök „</w:t>
      </w:r>
      <w:r w:rsidRPr="00CB1CA9">
        <w:rPr>
          <w:rFonts w:ascii="Times New Roman" w:hAnsi="Times New Roman" w:cs="Times New Roman"/>
          <w:i/>
        </w:rPr>
        <w:t xml:space="preserve">a kérelem beérkezésétől számított </w:t>
      </w:r>
      <w:r w:rsidRPr="00CB1CA9">
        <w:rPr>
          <w:rFonts w:ascii="Times New Roman" w:hAnsi="Times New Roman" w:cs="Times New Roman"/>
          <w:b/>
          <w:i/>
        </w:rPr>
        <w:t>tizenöt napon belül</w:t>
      </w:r>
      <w:r w:rsidRPr="00CB1CA9">
        <w:rPr>
          <w:rFonts w:ascii="Times New Roman" w:hAnsi="Times New Roman" w:cs="Times New Roman"/>
          <w:i/>
        </w:rPr>
        <w:t xml:space="preserve"> - pótlásra hívja fel a kérelmezőt.”</w:t>
      </w:r>
    </w:p>
    <w:p w:rsidR="00CB1CA9" w:rsidRPr="00CB1CA9" w:rsidRDefault="00CB1CA9" w:rsidP="00CE386D">
      <w:pPr>
        <w:autoSpaceDE w:val="0"/>
        <w:autoSpaceDN w:val="0"/>
        <w:adjustRightInd w:val="0"/>
        <w:rPr>
          <w:rFonts w:ascii="Times New Roman" w:hAnsi="Times New Roman" w:cs="Times New Roman"/>
          <w:i/>
        </w:rPr>
      </w:pPr>
    </w:p>
    <w:p w:rsidR="00CB1CA9" w:rsidRPr="00CB1CA9" w:rsidRDefault="00CE386D" w:rsidP="00CB1CA9">
      <w:pPr>
        <w:pStyle w:val="Listaszerbekezds"/>
        <w:numPr>
          <w:ilvl w:val="0"/>
          <w:numId w:val="7"/>
        </w:numPr>
        <w:tabs>
          <w:tab w:val="left" w:pos="284"/>
        </w:tabs>
        <w:autoSpaceDE w:val="0"/>
        <w:autoSpaceDN w:val="0"/>
        <w:adjustRightInd w:val="0"/>
        <w:ind w:left="0" w:firstLine="0"/>
        <w:rPr>
          <w:rFonts w:ascii="Times New Roman" w:hAnsi="Times New Roman" w:cs="Times New Roman"/>
          <w:vertAlign w:val="superscript"/>
        </w:rPr>
      </w:pPr>
      <w:r w:rsidRPr="00CB1CA9">
        <w:rPr>
          <w:rFonts w:ascii="Times New Roman" w:hAnsi="Times New Roman" w:cs="Times New Roman"/>
        </w:rPr>
        <w:t xml:space="preserve">A 29. § (2) bekezdése szerint  </w:t>
      </w:r>
      <w:r w:rsidR="00CB1CA9">
        <w:rPr>
          <w:rFonts w:ascii="Times New Roman" w:hAnsi="Times New Roman" w:cs="Times New Roman"/>
        </w:rPr>
        <w:t xml:space="preserve">viszont </w:t>
      </w:r>
      <w:r w:rsidRPr="00CB1CA9">
        <w:rPr>
          <w:rFonts w:ascii="Times New Roman" w:hAnsi="Times New Roman" w:cs="Times New Roman"/>
        </w:rPr>
        <w:t xml:space="preserve">a beérkező anyagot </w:t>
      </w:r>
      <w:r w:rsidRPr="00CB1CA9">
        <w:rPr>
          <w:rFonts w:ascii="Times New Roman" w:hAnsi="Times New Roman" w:cs="Times New Roman"/>
          <w:i/>
        </w:rPr>
        <w:t>„</w:t>
      </w:r>
      <w:r w:rsidR="00105EA7" w:rsidRPr="00CB1CA9">
        <w:rPr>
          <w:rFonts w:ascii="Times New Roman" w:hAnsi="Times New Roman" w:cs="Times New Roman"/>
          <w:i/>
        </w:rPr>
        <w:t xml:space="preserve">A békéltető testület elnöke az eljárás megindulásától számított </w:t>
      </w:r>
      <w:r w:rsidR="00105EA7" w:rsidRPr="00CB1CA9">
        <w:rPr>
          <w:rFonts w:ascii="Times New Roman" w:hAnsi="Times New Roman" w:cs="Times New Roman"/>
          <w:b/>
          <w:i/>
        </w:rPr>
        <w:t>nyolc napon belül megvizsgálja</w:t>
      </w:r>
      <w:r w:rsidRPr="00CB1CA9">
        <w:rPr>
          <w:rFonts w:ascii="Times New Roman" w:hAnsi="Times New Roman" w:cs="Times New Roman"/>
          <w:i/>
        </w:rPr>
        <w:t>”</w:t>
      </w:r>
      <w:r w:rsidR="00105EA7" w:rsidRPr="00CB1CA9">
        <w:rPr>
          <w:rFonts w:ascii="Times New Roman" w:hAnsi="Times New Roman" w:cs="Times New Roman"/>
        </w:rPr>
        <w:t xml:space="preserve"> </w:t>
      </w:r>
      <w:r w:rsidRPr="00CB1CA9">
        <w:rPr>
          <w:rFonts w:ascii="Times New Roman" w:hAnsi="Times New Roman" w:cs="Times New Roman"/>
        </w:rPr>
        <w:t xml:space="preserve">és adott esetben </w:t>
      </w:r>
      <w:r w:rsidR="00105EA7" w:rsidRPr="00CB1CA9">
        <w:rPr>
          <w:rFonts w:ascii="Times New Roman" w:hAnsi="Times New Roman" w:cs="Times New Roman"/>
        </w:rPr>
        <w:t xml:space="preserve"> </w:t>
      </w:r>
      <w:r w:rsidRPr="00CB1CA9">
        <w:rPr>
          <w:rFonts w:ascii="Times New Roman" w:hAnsi="Times New Roman" w:cs="Times New Roman"/>
        </w:rPr>
        <w:t>„</w:t>
      </w:r>
      <w:r w:rsidR="00105EA7" w:rsidRPr="00CB1CA9">
        <w:rPr>
          <w:rFonts w:ascii="Times New Roman" w:hAnsi="Times New Roman" w:cs="Times New Roman"/>
          <w:i/>
        </w:rPr>
        <w:t xml:space="preserve">a hatáskörrel, illetve illetékességgel rendelkező szervezetnek </w:t>
      </w:r>
      <w:r w:rsidR="00105EA7" w:rsidRPr="00CB1CA9">
        <w:rPr>
          <w:rFonts w:ascii="Times New Roman" w:hAnsi="Times New Roman" w:cs="Times New Roman"/>
          <w:b/>
          <w:i/>
        </w:rPr>
        <w:t>haladéktalanul megküldi</w:t>
      </w:r>
      <w:r w:rsidR="00CB1CA9">
        <w:rPr>
          <w:rFonts w:ascii="Times New Roman" w:hAnsi="Times New Roman" w:cs="Times New Roman"/>
        </w:rPr>
        <w:t>.”</w:t>
      </w:r>
    </w:p>
    <w:p w:rsidR="00CB1CA9" w:rsidRPr="00CB1CA9" w:rsidRDefault="00CB1CA9" w:rsidP="00CB1CA9">
      <w:pPr>
        <w:pStyle w:val="Listaszerbekezds"/>
        <w:rPr>
          <w:rFonts w:ascii="Times New Roman" w:hAnsi="Times New Roman" w:cs="Times New Roman"/>
          <w:b/>
          <w:bCs/>
        </w:rPr>
      </w:pPr>
    </w:p>
    <w:p w:rsidR="00970997" w:rsidRDefault="00CB1CA9" w:rsidP="00CB1CA9">
      <w:pPr>
        <w:tabs>
          <w:tab w:val="left" w:pos="284"/>
        </w:tabs>
        <w:autoSpaceDE w:val="0"/>
        <w:autoSpaceDN w:val="0"/>
        <w:adjustRightInd w:val="0"/>
        <w:rPr>
          <w:rFonts w:ascii="Times New Roman" w:hAnsi="Times New Roman" w:cs="Times New Roman"/>
          <w:bCs/>
        </w:rPr>
      </w:pPr>
      <w:r>
        <w:rPr>
          <w:rFonts w:ascii="Times New Roman" w:hAnsi="Times New Roman" w:cs="Times New Roman"/>
          <w:b/>
          <w:bCs/>
        </w:rPr>
        <w:t xml:space="preserve">Szükségtelennek érezzük ezt a </w:t>
      </w:r>
      <w:r w:rsidR="00970997">
        <w:rPr>
          <w:rFonts w:ascii="Times New Roman" w:hAnsi="Times New Roman" w:cs="Times New Roman"/>
          <w:b/>
          <w:bCs/>
        </w:rPr>
        <w:t xml:space="preserve">különbségtételt. </w:t>
      </w:r>
      <w:r w:rsidR="00970997" w:rsidRPr="00970997">
        <w:rPr>
          <w:rFonts w:ascii="Times New Roman" w:hAnsi="Times New Roman" w:cs="Times New Roman"/>
          <w:bCs/>
        </w:rPr>
        <w:t>A mi gyakorlatunkban a „vizsgálat” megtörténik a 8 napos határidőben, azzal együtt az is kiderül, hogy kell-e hiánypótlási felhívást küldeni, vagy kitűzhető-e a meghallgatás</w:t>
      </w:r>
      <w:r w:rsidR="00970997">
        <w:rPr>
          <w:rFonts w:ascii="Times New Roman" w:hAnsi="Times New Roman" w:cs="Times New Roman"/>
          <w:b/>
          <w:bCs/>
        </w:rPr>
        <w:t xml:space="preserve"> </w:t>
      </w:r>
      <w:r w:rsidR="00970997" w:rsidRPr="00970997">
        <w:rPr>
          <w:rFonts w:ascii="Times New Roman" w:hAnsi="Times New Roman" w:cs="Times New Roman"/>
          <w:bCs/>
        </w:rPr>
        <w:t>(vagy kezdeményezhető-e az írásbeli lebonyolítás).</w:t>
      </w:r>
      <w:r w:rsidR="00970997">
        <w:rPr>
          <w:rFonts w:ascii="Times New Roman" w:hAnsi="Times New Roman" w:cs="Times New Roman"/>
          <w:b/>
          <w:bCs/>
        </w:rPr>
        <w:t xml:space="preserve"> </w:t>
      </w:r>
      <w:r w:rsidR="00970997" w:rsidRPr="00970997">
        <w:rPr>
          <w:rFonts w:ascii="Times New Roman" w:hAnsi="Times New Roman" w:cs="Times New Roman"/>
          <w:bCs/>
        </w:rPr>
        <w:t>A nagyobb ügyszámmal</w:t>
      </w:r>
      <w:r w:rsidR="00970997">
        <w:rPr>
          <w:rFonts w:ascii="Times New Roman" w:hAnsi="Times New Roman" w:cs="Times New Roman"/>
          <w:b/>
          <w:bCs/>
        </w:rPr>
        <w:t xml:space="preserve"> </w:t>
      </w:r>
      <w:r w:rsidR="00970997">
        <w:rPr>
          <w:rFonts w:ascii="Times New Roman" w:hAnsi="Times New Roman" w:cs="Times New Roman"/>
          <w:bCs/>
        </w:rPr>
        <w:t xml:space="preserve">dolgozó testületeknél lehet, hogy a 15 napos határidő </w:t>
      </w:r>
      <w:r w:rsidR="00490493">
        <w:rPr>
          <w:rFonts w:ascii="Times New Roman" w:hAnsi="Times New Roman" w:cs="Times New Roman"/>
          <w:bCs/>
        </w:rPr>
        <w:t xml:space="preserve">az </w:t>
      </w:r>
      <w:r w:rsidR="00970997">
        <w:rPr>
          <w:rFonts w:ascii="Times New Roman" w:hAnsi="Times New Roman" w:cs="Times New Roman"/>
          <w:bCs/>
        </w:rPr>
        <w:t>indokoltabb.</w:t>
      </w:r>
    </w:p>
    <w:p w:rsidR="00970997" w:rsidRDefault="00970997" w:rsidP="00CB1CA9">
      <w:pPr>
        <w:tabs>
          <w:tab w:val="left" w:pos="284"/>
        </w:tabs>
        <w:autoSpaceDE w:val="0"/>
        <w:autoSpaceDN w:val="0"/>
        <w:adjustRightInd w:val="0"/>
        <w:rPr>
          <w:rFonts w:ascii="Times New Roman" w:hAnsi="Times New Roman" w:cs="Times New Roman"/>
          <w:bCs/>
        </w:rPr>
      </w:pPr>
    </w:p>
    <w:p w:rsidR="00C51826" w:rsidRPr="00C51826" w:rsidRDefault="00CE386D" w:rsidP="00970997">
      <w:pPr>
        <w:tabs>
          <w:tab w:val="left" w:pos="284"/>
        </w:tabs>
        <w:autoSpaceDE w:val="0"/>
        <w:autoSpaceDN w:val="0"/>
        <w:adjustRightInd w:val="0"/>
        <w:ind w:left="204"/>
        <w:rPr>
          <w:rFonts w:ascii="Times New Roman" w:hAnsi="Times New Roman" w:cs="Times New Roman"/>
          <w:vertAlign w:val="superscript"/>
        </w:rPr>
      </w:pPr>
      <w:r w:rsidRPr="00CB1CA9">
        <w:rPr>
          <w:rFonts w:ascii="Times New Roman" w:hAnsi="Times New Roman" w:cs="Times New Roman"/>
          <w:b/>
          <w:bCs/>
        </w:rPr>
        <w:t>[</w:t>
      </w:r>
      <w:r w:rsidR="00490493">
        <w:rPr>
          <w:rFonts w:ascii="Times New Roman" w:hAnsi="Times New Roman" w:cs="Times New Roman"/>
          <w:b/>
          <w:bCs/>
        </w:rPr>
        <w:t>Megjegyezzük azt is, hogy a</w:t>
      </w:r>
      <w:r w:rsidRPr="00CB1CA9">
        <w:rPr>
          <w:rFonts w:ascii="Times New Roman" w:hAnsi="Times New Roman" w:cs="Times New Roman"/>
          <w:b/>
          <w:bCs/>
        </w:rPr>
        <w:t xml:space="preserve">nnak ellenére, hogy a Ptk. 1:6. §-a szerint </w:t>
      </w:r>
      <w:r w:rsidRPr="00CB1CA9">
        <w:rPr>
          <w:rFonts w:ascii="Times New Roman" w:hAnsi="Times New Roman" w:cs="Times New Roman"/>
          <w:b/>
          <w:bCs/>
          <w:i/>
        </w:rPr>
        <w:t>„</w:t>
      </w:r>
      <w:r w:rsidRPr="00CB1CA9">
        <w:rPr>
          <w:rFonts w:ascii="Times New Roman" w:hAnsi="Times New Roman" w:cs="Times New Roman"/>
          <w:i/>
          <w:iCs/>
        </w:rPr>
        <w:t xml:space="preserve">[Bírói út] </w:t>
      </w:r>
      <w:r w:rsidRPr="00CB1CA9">
        <w:rPr>
          <w:rFonts w:ascii="Times New Roman" w:hAnsi="Times New Roman" w:cs="Times New Roman"/>
          <w:i/>
        </w:rPr>
        <w:t>Az e törvényben biztosított jogok érvényesítése - ha törvény eltérően nem rendelkezik - bírói útra tartozik.” –</w:t>
      </w:r>
      <w:r w:rsidRPr="00CB1CA9">
        <w:rPr>
          <w:rFonts w:ascii="Times New Roman" w:hAnsi="Times New Roman" w:cs="Times New Roman"/>
        </w:rPr>
        <w:t xml:space="preserve"> nyilvánvalónak tartjuk, hogy ha nincs hatásköre </w:t>
      </w:r>
      <w:r w:rsidR="00C51826" w:rsidRPr="00CB1CA9">
        <w:rPr>
          <w:rFonts w:ascii="Times New Roman" w:hAnsi="Times New Roman" w:cs="Times New Roman"/>
        </w:rPr>
        <w:t xml:space="preserve">a testületnek, akkor nem teszi át </w:t>
      </w:r>
      <w:r w:rsidR="00490493">
        <w:rPr>
          <w:rFonts w:ascii="Times New Roman" w:hAnsi="Times New Roman" w:cs="Times New Roman"/>
        </w:rPr>
        <w:t xml:space="preserve">a kérelmet </w:t>
      </w:r>
      <w:r w:rsidR="00C51826" w:rsidRPr="00CB1CA9">
        <w:rPr>
          <w:rFonts w:ascii="Times New Roman" w:hAnsi="Times New Roman" w:cs="Times New Roman"/>
        </w:rPr>
        <w:t xml:space="preserve">bírói útra. Más </w:t>
      </w:r>
      <w:r w:rsidR="00490493">
        <w:rPr>
          <w:rFonts w:ascii="Times New Roman" w:hAnsi="Times New Roman" w:cs="Times New Roman"/>
        </w:rPr>
        <w:t>szervezethez</w:t>
      </w:r>
      <w:r w:rsidR="00C51826" w:rsidRPr="00CB1CA9">
        <w:rPr>
          <w:rFonts w:ascii="Times New Roman" w:hAnsi="Times New Roman" w:cs="Times New Roman"/>
        </w:rPr>
        <w:t xml:space="preserve"> is megfontolandó </w:t>
      </w:r>
      <w:r w:rsidR="00490493">
        <w:rPr>
          <w:rFonts w:ascii="Times New Roman" w:hAnsi="Times New Roman" w:cs="Times New Roman"/>
        </w:rPr>
        <w:t>a közvetlen</w:t>
      </w:r>
      <w:r w:rsidR="00C51826" w:rsidRPr="00CB1CA9">
        <w:rPr>
          <w:rFonts w:ascii="Times New Roman" w:hAnsi="Times New Roman" w:cs="Times New Roman"/>
        </w:rPr>
        <w:t xml:space="preserve"> áttétel, mivel a békéltető eljárás ingyenes, más </w:t>
      </w:r>
      <w:r w:rsidR="00490493">
        <w:rPr>
          <w:rFonts w:ascii="Times New Roman" w:hAnsi="Times New Roman" w:cs="Times New Roman"/>
        </w:rPr>
        <w:t xml:space="preserve">– különösen a </w:t>
      </w:r>
      <w:r w:rsidR="00C51826" w:rsidRPr="00CB1CA9">
        <w:rPr>
          <w:rFonts w:ascii="Times New Roman" w:hAnsi="Times New Roman" w:cs="Times New Roman"/>
        </w:rPr>
        <w:t xml:space="preserve">jogorvoslati lehetőségek esetében pedig </w:t>
      </w:r>
      <w:r w:rsidR="00920ADB">
        <w:rPr>
          <w:rFonts w:ascii="Times New Roman" w:hAnsi="Times New Roman" w:cs="Times New Roman"/>
        </w:rPr>
        <w:t>– e</w:t>
      </w:r>
      <w:r w:rsidR="00490493">
        <w:rPr>
          <w:rFonts w:ascii="Times New Roman" w:hAnsi="Times New Roman" w:cs="Times New Roman"/>
        </w:rPr>
        <w:t>lő</w:t>
      </w:r>
      <w:r w:rsidR="00C51826" w:rsidRPr="00CB1CA9">
        <w:rPr>
          <w:rFonts w:ascii="Times New Roman" w:hAnsi="Times New Roman" w:cs="Times New Roman"/>
        </w:rPr>
        <w:t>fordul</w:t>
      </w:r>
      <w:r w:rsidR="00490493">
        <w:rPr>
          <w:rFonts w:ascii="Times New Roman" w:hAnsi="Times New Roman" w:cs="Times New Roman"/>
        </w:rPr>
        <w:t>hat</w:t>
      </w:r>
      <w:r w:rsidR="00C51826" w:rsidRPr="00CB1CA9">
        <w:rPr>
          <w:rFonts w:ascii="Times New Roman" w:hAnsi="Times New Roman" w:cs="Times New Roman"/>
        </w:rPr>
        <w:t xml:space="preserve"> </w:t>
      </w:r>
      <w:r w:rsidR="00490493">
        <w:rPr>
          <w:rFonts w:ascii="Times New Roman" w:hAnsi="Times New Roman" w:cs="Times New Roman"/>
        </w:rPr>
        <w:t xml:space="preserve">az </w:t>
      </w:r>
      <w:r w:rsidR="00C51826" w:rsidRPr="00CB1CA9">
        <w:rPr>
          <w:rFonts w:ascii="Times New Roman" w:hAnsi="Times New Roman" w:cs="Times New Roman"/>
        </w:rPr>
        <w:t>illetékhez kötés is. Meggondolásra érdemes lehet, hogy a békéltető eljárás kivétel lenne az általános áttételi szabály alól úgy, hogy visszaszármaztatná a teljes dokumentációt a kérelmezőhöz – rábízva a további lépések megtételében</w:t>
      </w:r>
      <w:r w:rsidR="00490493" w:rsidRPr="00490493">
        <w:rPr>
          <w:rFonts w:ascii="Times New Roman" w:hAnsi="Times New Roman" w:cs="Times New Roman"/>
        </w:rPr>
        <w:t xml:space="preserve"> </w:t>
      </w:r>
      <w:r w:rsidR="00490493" w:rsidRPr="00CB1CA9">
        <w:rPr>
          <w:rFonts w:ascii="Times New Roman" w:hAnsi="Times New Roman" w:cs="Times New Roman"/>
        </w:rPr>
        <w:t>a döntést</w:t>
      </w:r>
      <w:r w:rsidR="00C51826" w:rsidRPr="00CB1CA9">
        <w:rPr>
          <w:rFonts w:ascii="Times New Roman" w:hAnsi="Times New Roman" w:cs="Times New Roman"/>
        </w:rPr>
        <w:t xml:space="preserve">.] </w:t>
      </w:r>
    </w:p>
    <w:p w:rsidR="00CE386D" w:rsidRPr="00CE386D" w:rsidRDefault="00CE386D" w:rsidP="00CE386D">
      <w:pPr>
        <w:autoSpaceDE w:val="0"/>
        <w:autoSpaceDN w:val="0"/>
        <w:adjustRightInd w:val="0"/>
        <w:rPr>
          <w:rFonts w:ascii="Times New Roman" w:hAnsi="Times New Roman" w:cs="Times New Roman"/>
        </w:rPr>
      </w:pPr>
    </w:p>
    <w:p w:rsidR="00105EA7" w:rsidRPr="00F7480F" w:rsidRDefault="00970997" w:rsidP="00970997">
      <w:pPr>
        <w:pStyle w:val="Listaszerbekezds"/>
        <w:numPr>
          <w:ilvl w:val="0"/>
          <w:numId w:val="8"/>
        </w:numPr>
        <w:tabs>
          <w:tab w:val="left" w:pos="284"/>
        </w:tabs>
        <w:autoSpaceDE w:val="0"/>
        <w:autoSpaceDN w:val="0"/>
        <w:adjustRightInd w:val="0"/>
        <w:ind w:left="0" w:firstLine="0"/>
        <w:rPr>
          <w:rFonts w:ascii="Times New Roman" w:hAnsi="Times New Roman" w:cs="Times New Roman"/>
          <w:i/>
        </w:rPr>
      </w:pPr>
      <w:r w:rsidRPr="00970997">
        <w:rPr>
          <w:rFonts w:ascii="Times New Roman" w:hAnsi="Times New Roman" w:cs="Times New Roman"/>
          <w:b/>
        </w:rPr>
        <w:t>Újabb</w:t>
      </w:r>
      <w:r>
        <w:rPr>
          <w:rFonts w:ascii="Times New Roman" w:hAnsi="Times New Roman" w:cs="Times New Roman"/>
        </w:rPr>
        <w:t xml:space="preserve"> – </w:t>
      </w:r>
      <w:r w:rsidRPr="00490493">
        <w:rPr>
          <w:rFonts w:ascii="Times New Roman" w:hAnsi="Times New Roman" w:cs="Times New Roman"/>
          <w:i/>
        </w:rPr>
        <w:t>21 napos</w:t>
      </w:r>
      <w:r>
        <w:rPr>
          <w:rFonts w:ascii="Times New Roman" w:hAnsi="Times New Roman" w:cs="Times New Roman"/>
        </w:rPr>
        <w:t xml:space="preserve"> – </w:t>
      </w:r>
      <w:r w:rsidRPr="00970997">
        <w:rPr>
          <w:rFonts w:ascii="Times New Roman" w:hAnsi="Times New Roman" w:cs="Times New Roman"/>
          <w:b/>
        </w:rPr>
        <w:t>határidő</w:t>
      </w:r>
      <w:r>
        <w:rPr>
          <w:rFonts w:ascii="Times New Roman" w:hAnsi="Times New Roman" w:cs="Times New Roman"/>
        </w:rPr>
        <w:t xml:space="preserve"> jelent meg a </w:t>
      </w:r>
      <w:r w:rsidR="00C51826" w:rsidRPr="00970997">
        <w:rPr>
          <w:rFonts w:ascii="Times New Roman" w:hAnsi="Times New Roman" w:cs="Times New Roman"/>
        </w:rPr>
        <w:t xml:space="preserve">29. § </w:t>
      </w:r>
      <w:r w:rsidR="00105EA7" w:rsidRPr="00970997">
        <w:rPr>
          <w:rFonts w:ascii="Times New Roman" w:hAnsi="Times New Roman" w:cs="Times New Roman"/>
        </w:rPr>
        <w:t>(4a)</w:t>
      </w:r>
      <w:r w:rsidR="00105EA7" w:rsidRPr="00105EA7">
        <w:rPr>
          <w:vertAlign w:val="superscript"/>
        </w:rPr>
        <w:footnoteReference w:id="3"/>
      </w:r>
      <w:r w:rsidR="00105EA7" w:rsidRPr="00970997">
        <w:rPr>
          <w:rFonts w:ascii="Times New Roman" w:hAnsi="Times New Roman" w:cs="Times New Roman"/>
        </w:rPr>
        <w:t xml:space="preserve"> </w:t>
      </w:r>
      <w:r>
        <w:rPr>
          <w:rFonts w:ascii="Times New Roman" w:hAnsi="Times New Roman" w:cs="Times New Roman"/>
        </w:rPr>
        <w:t xml:space="preserve">bekezdésben. </w:t>
      </w:r>
      <w:r w:rsidR="00490493">
        <w:rPr>
          <w:rFonts w:ascii="Times New Roman" w:hAnsi="Times New Roman" w:cs="Times New Roman"/>
        </w:rPr>
        <w:t>(</w:t>
      </w:r>
      <w:r w:rsidR="00490493" w:rsidRPr="00490493">
        <w:rPr>
          <w:rFonts w:ascii="Times New Roman" w:hAnsi="Times New Roman" w:cs="Times New Roman"/>
          <w:i/>
        </w:rPr>
        <w:t>„</w:t>
      </w:r>
      <w:r w:rsidR="00105EA7" w:rsidRPr="00490493">
        <w:rPr>
          <w:rFonts w:ascii="Times New Roman" w:hAnsi="Times New Roman" w:cs="Times New Roman"/>
          <w:i/>
        </w:rPr>
        <w:t>Az elnök a kérelem meghallgatás kitűzése nélküli elutasítása esetén ennek tényéről, valamint indokáról a feleket a kérelem kézhezvételétől számított huszonegy napon belül értesíti.</w:t>
      </w:r>
      <w:r w:rsidR="00490493">
        <w:rPr>
          <w:rFonts w:ascii="Times New Roman" w:hAnsi="Times New Roman" w:cs="Times New Roman"/>
          <w:i/>
        </w:rPr>
        <w:t>”</w:t>
      </w:r>
      <w:r w:rsidR="00490493">
        <w:rPr>
          <w:rFonts w:ascii="Times New Roman" w:hAnsi="Times New Roman" w:cs="Times New Roman"/>
        </w:rPr>
        <w:t>) Az értesítési kötelezettség esetében még az is felvethető, hogy szükséges-e a Felek értesítése (ne felejtsük el: tértivevényesen kell kiküldeni), nem elég-e, ha csak a kérelmezőt értesítené ki a testület elnöke, hogy elutasította a kérelmet. Szükséges-e egy olyan beadványról tájékoztatást adni, amiből nem indul meg az eljárás</w:t>
      </w:r>
      <w:r w:rsidR="00F7480F">
        <w:rPr>
          <w:rFonts w:ascii="Times New Roman" w:hAnsi="Times New Roman" w:cs="Times New Roman"/>
        </w:rPr>
        <w:t xml:space="preserve">. (Az „eljárás megszüntetése” és az „elutasítás” fogalmi elhatárolására már utaltunk.) </w:t>
      </w:r>
    </w:p>
    <w:p w:rsidR="00F7480F" w:rsidRPr="00F7480F" w:rsidRDefault="00F7480F" w:rsidP="00F7480F">
      <w:pPr>
        <w:tabs>
          <w:tab w:val="left" w:pos="284"/>
        </w:tabs>
        <w:autoSpaceDE w:val="0"/>
        <w:autoSpaceDN w:val="0"/>
        <w:adjustRightInd w:val="0"/>
        <w:rPr>
          <w:rFonts w:ascii="Times New Roman" w:hAnsi="Times New Roman" w:cs="Times New Roman"/>
          <w:i/>
        </w:rPr>
      </w:pPr>
    </w:p>
    <w:p w:rsidR="009A4F0F" w:rsidRPr="009A4F0F" w:rsidRDefault="00F7480F" w:rsidP="009A4F0F">
      <w:pPr>
        <w:pStyle w:val="Listaszerbekezds"/>
        <w:numPr>
          <w:ilvl w:val="0"/>
          <w:numId w:val="8"/>
        </w:numPr>
        <w:tabs>
          <w:tab w:val="left" w:pos="284"/>
        </w:tabs>
        <w:autoSpaceDE w:val="0"/>
        <w:autoSpaceDN w:val="0"/>
        <w:adjustRightInd w:val="0"/>
        <w:ind w:left="0" w:firstLine="0"/>
        <w:rPr>
          <w:rFonts w:ascii="Times New Roman" w:hAnsi="Times New Roman" w:cs="Times New Roman"/>
          <w:i/>
        </w:rPr>
      </w:pPr>
      <w:r>
        <w:rPr>
          <w:rFonts w:ascii="Times New Roman" w:hAnsi="Times New Roman" w:cs="Times New Roman"/>
        </w:rPr>
        <w:t xml:space="preserve">A 29. § (5) bekezdés a </w:t>
      </w:r>
      <w:r w:rsidRPr="00F7480F">
        <w:rPr>
          <w:rFonts w:ascii="Times New Roman" w:hAnsi="Times New Roman" w:cs="Times New Roman"/>
          <w:b/>
        </w:rPr>
        <w:t>„kellő időben”</w:t>
      </w:r>
      <w:r>
        <w:rPr>
          <w:rFonts w:ascii="Times New Roman" w:hAnsi="Times New Roman" w:cs="Times New Roman"/>
          <w:b/>
        </w:rPr>
        <w:t xml:space="preserve">-t </w:t>
      </w:r>
      <w:r w:rsidRPr="00F7480F">
        <w:rPr>
          <w:rFonts w:ascii="Times New Roman" w:hAnsi="Times New Roman" w:cs="Times New Roman"/>
        </w:rPr>
        <w:t>jelzi</w:t>
      </w:r>
      <w:r>
        <w:rPr>
          <w:rFonts w:ascii="Times New Roman" w:hAnsi="Times New Roman" w:cs="Times New Roman"/>
        </w:rPr>
        <w:t>. Ez azt jelenti, hogy figyelemmel kell lenni a (jelenleg) 8, illetve 15 napos határidőben történő vizsgálódásra, illetve a 60 napon belüli kitűzésre is – így lehet megállapítani a „kellő időt”.</w:t>
      </w:r>
    </w:p>
    <w:p w:rsidR="009A4F0F" w:rsidRPr="009A4F0F" w:rsidRDefault="009A4F0F" w:rsidP="009A4F0F">
      <w:pPr>
        <w:pStyle w:val="Listaszerbekezds"/>
        <w:rPr>
          <w:rFonts w:ascii="Times New Roman" w:hAnsi="Times New Roman" w:cs="Times New Roman"/>
        </w:rPr>
      </w:pPr>
    </w:p>
    <w:p w:rsidR="009A4F0F" w:rsidRDefault="009A4F0F" w:rsidP="009A4F0F">
      <w:pPr>
        <w:pStyle w:val="Listaszerbekezds"/>
        <w:numPr>
          <w:ilvl w:val="0"/>
          <w:numId w:val="8"/>
        </w:numPr>
        <w:tabs>
          <w:tab w:val="left" w:pos="284"/>
        </w:tabs>
        <w:autoSpaceDE w:val="0"/>
        <w:autoSpaceDN w:val="0"/>
        <w:adjustRightInd w:val="0"/>
        <w:ind w:left="0" w:firstLine="0"/>
        <w:rPr>
          <w:rFonts w:ascii="Times New Roman" w:hAnsi="Times New Roman" w:cs="Times New Roman"/>
          <w:i/>
        </w:rPr>
      </w:pPr>
      <w:r>
        <w:rPr>
          <w:rFonts w:ascii="Times New Roman" w:hAnsi="Times New Roman" w:cs="Times New Roman"/>
        </w:rPr>
        <w:t xml:space="preserve">A 29. § </w:t>
      </w:r>
      <w:r w:rsidR="00105EA7" w:rsidRPr="009A4F0F">
        <w:rPr>
          <w:rFonts w:ascii="Times New Roman" w:hAnsi="Times New Roman" w:cs="Times New Roman"/>
        </w:rPr>
        <w:t>(7)</w:t>
      </w:r>
      <w:r w:rsidR="00105EA7" w:rsidRPr="00105EA7">
        <w:rPr>
          <w:vertAlign w:val="superscript"/>
        </w:rPr>
        <w:footnoteReference w:id="4"/>
      </w:r>
      <w:r w:rsidR="00105EA7" w:rsidRPr="009A4F0F">
        <w:rPr>
          <w:rFonts w:ascii="Times New Roman" w:hAnsi="Times New Roman" w:cs="Times New Roman"/>
        </w:rPr>
        <w:t xml:space="preserve"> </w:t>
      </w:r>
      <w:r>
        <w:rPr>
          <w:rFonts w:ascii="Times New Roman" w:hAnsi="Times New Roman" w:cs="Times New Roman"/>
        </w:rPr>
        <w:t xml:space="preserve">bekezdése nemcsak határidős problémát vet fel. Az írásbeli lebonyolítás kezdeményezésének elfogadására a törvény jelenleg 15 napos határidőt ad a Feleknek. </w:t>
      </w:r>
      <w:r w:rsidR="00F118EA">
        <w:rPr>
          <w:rFonts w:ascii="Times New Roman" w:hAnsi="Times New Roman" w:cs="Times New Roman"/>
        </w:rPr>
        <w:t xml:space="preserve">A Vállalkozásnak 8 napon belül – lásd az együttműködési kötelezettségről szóló szabályokat is – válasziratot kell küldenie, illetve nyilatkoznia kell az alávetésről is. </w:t>
      </w:r>
      <w:r w:rsidR="00F118EA">
        <w:rPr>
          <w:rFonts w:ascii="Times New Roman" w:hAnsi="Times New Roman" w:cs="Times New Roman"/>
          <w:i/>
        </w:rPr>
        <w:t>Miért nem lehet ugyanezt a 8 napos határidőt megállapítani az írásbeli eljárásra is?</w:t>
      </w:r>
    </w:p>
    <w:p w:rsidR="00F118EA" w:rsidRPr="00F118EA" w:rsidRDefault="00F118EA" w:rsidP="00F118EA">
      <w:pPr>
        <w:pStyle w:val="Listaszerbekezds"/>
        <w:rPr>
          <w:rFonts w:ascii="Times New Roman" w:hAnsi="Times New Roman" w:cs="Times New Roman"/>
          <w:i/>
        </w:rPr>
      </w:pPr>
    </w:p>
    <w:p w:rsidR="0071273A" w:rsidRPr="0071273A" w:rsidRDefault="00F118EA" w:rsidP="00970997">
      <w:pPr>
        <w:pStyle w:val="Listaszerbekezds"/>
        <w:numPr>
          <w:ilvl w:val="0"/>
          <w:numId w:val="8"/>
        </w:numPr>
        <w:tabs>
          <w:tab w:val="left" w:pos="284"/>
        </w:tabs>
        <w:autoSpaceDE w:val="0"/>
        <w:autoSpaceDN w:val="0"/>
        <w:adjustRightInd w:val="0"/>
        <w:ind w:left="0" w:firstLine="0"/>
        <w:rPr>
          <w:rFonts w:ascii="Times New Roman" w:hAnsi="Times New Roman" w:cs="Times New Roman"/>
          <w:i/>
        </w:rPr>
      </w:pPr>
      <w:r>
        <w:rPr>
          <w:rFonts w:ascii="Times New Roman" w:hAnsi="Times New Roman" w:cs="Times New Roman"/>
        </w:rPr>
        <w:t>Lehet, hogy csak a „kis és közepes megyéknél”, mint a mienk is, nem probléma az írásba</w:t>
      </w:r>
      <w:r w:rsidR="00920ADB">
        <w:rPr>
          <w:rFonts w:ascii="Times New Roman" w:hAnsi="Times New Roman" w:cs="Times New Roman"/>
        </w:rPr>
        <w:t xml:space="preserve"> </w:t>
      </w:r>
      <w:r>
        <w:rPr>
          <w:rFonts w:ascii="Times New Roman" w:hAnsi="Times New Roman" w:cs="Times New Roman"/>
        </w:rPr>
        <w:t>foglalás és expediálás, egy, maximum két héten belüli elvégzése, de a döntéseknél általában azt a megfogalmazást adja meg az eljáró tanács, hogy a „kézhezvételétől/a kézbesítéstől számított x nap alatt hajtson végre valamit a Vállalkozás” – így célszerű azt minél előbb eljuttatni a Felekhez. Erre úgy ítéljük meg, hogy a 15 napos határidő elegendő lehet</w:t>
      </w:r>
      <w:r w:rsidR="0071273A">
        <w:rPr>
          <w:rFonts w:ascii="Times New Roman" w:hAnsi="Times New Roman" w:cs="Times New Roman"/>
        </w:rPr>
        <w:t xml:space="preserve"> (33. §)</w:t>
      </w:r>
      <w:r>
        <w:rPr>
          <w:rFonts w:ascii="Times New Roman" w:hAnsi="Times New Roman" w:cs="Times New Roman"/>
        </w:rPr>
        <w:t>.</w:t>
      </w:r>
    </w:p>
    <w:p w:rsidR="0071273A" w:rsidRPr="0071273A" w:rsidRDefault="0071273A" w:rsidP="0071273A">
      <w:pPr>
        <w:pStyle w:val="Listaszerbekezds"/>
        <w:rPr>
          <w:rFonts w:ascii="Times New Roman" w:hAnsi="Times New Roman" w:cs="Times New Roman"/>
          <w:i/>
        </w:rPr>
      </w:pPr>
    </w:p>
    <w:p w:rsidR="0071273A" w:rsidRPr="00475A31" w:rsidRDefault="0071273A" w:rsidP="00970997">
      <w:pPr>
        <w:pStyle w:val="Listaszerbekezds"/>
        <w:numPr>
          <w:ilvl w:val="0"/>
          <w:numId w:val="8"/>
        </w:numPr>
        <w:tabs>
          <w:tab w:val="left" w:pos="284"/>
        </w:tabs>
        <w:autoSpaceDE w:val="0"/>
        <w:autoSpaceDN w:val="0"/>
        <w:adjustRightInd w:val="0"/>
        <w:ind w:left="0" w:firstLine="0"/>
        <w:rPr>
          <w:rFonts w:ascii="Times New Roman" w:hAnsi="Times New Roman" w:cs="Times New Roman"/>
          <w:i/>
        </w:rPr>
      </w:pPr>
      <w:r>
        <w:rPr>
          <w:rFonts w:ascii="Times New Roman" w:hAnsi="Times New Roman" w:cs="Times New Roman"/>
        </w:rPr>
        <w:t>A 33. § (6) bekezdése visszautal a kézbesítési vélelem beálltával kapcsolatosan a 29/A. §-ra. Ennek (2) bekezdése azt mondja ki, hogy „nem kereste” jelzéssel visszaérkezett</w:t>
      </w:r>
      <w:r w:rsidRPr="0071273A">
        <w:rPr>
          <w:rFonts w:ascii="Times New Roman" w:hAnsi="Times New Roman" w:cs="Times New Roman"/>
        </w:rPr>
        <w:t xml:space="preserve"> iratot a postai kézbesítés második megkísérlésének napját követő ötödik munkanapo</w:t>
      </w:r>
      <w:r>
        <w:rPr>
          <w:rFonts w:ascii="Times New Roman" w:hAnsi="Times New Roman" w:cs="Times New Roman"/>
        </w:rPr>
        <w:t xml:space="preserve">n kézbesítettnek kell tekinteni, vagyis ekkor áll be a vélelem. Ehhez képest 8 napja van az elnöknek </w:t>
      </w:r>
      <w:r w:rsidR="00475A31">
        <w:rPr>
          <w:rFonts w:ascii="Times New Roman" w:hAnsi="Times New Roman" w:cs="Times New Roman"/>
        </w:rPr>
        <w:t>a honlapon való közzétételre, és az ismételt értesítésre.</w:t>
      </w:r>
    </w:p>
    <w:p w:rsidR="00105EA7" w:rsidRPr="00105EA7" w:rsidRDefault="00475A31" w:rsidP="00E32221">
      <w:pPr>
        <w:tabs>
          <w:tab w:val="left" w:pos="284"/>
        </w:tabs>
        <w:autoSpaceDE w:val="0"/>
        <w:autoSpaceDN w:val="0"/>
        <w:adjustRightInd w:val="0"/>
        <w:rPr>
          <w:rFonts w:ascii="Times New Roman" w:hAnsi="Times New Roman" w:cs="Times New Roman"/>
        </w:rPr>
      </w:pPr>
      <w:r>
        <w:rPr>
          <w:rFonts w:ascii="Times New Roman" w:hAnsi="Times New Roman" w:cs="Times New Roman"/>
          <w:i/>
        </w:rPr>
        <w:t>A szabály szerint a posta a másodszori kísérletét feljegyzi a tértivevényre, de ezt követően még öt munkanapot vár – hátha átveszi a címzett a levelet. Legkorábban a 6. munkanapon küldi vissza a tértivevényt – ami jó esetben a 7. vagy 8. munkanapon érkezik meg a testülethez. Ekkor látható, hogy mikor is volt a 2. kézbesítés – amikor vélelmezhető az átvétel. Ebből következik, hogy egyes esetekben nincs 8 napja az elnöknek a teendőkre (</w:t>
      </w:r>
      <w:r w:rsidR="00BF3D6F">
        <w:rPr>
          <w:rFonts w:ascii="Times New Roman" w:hAnsi="Times New Roman" w:cs="Times New Roman"/>
        </w:rPr>
        <w:t>pl. pénteken kézbesít a posta 2. alkalommal. 5 munkanap múlva, vagyis a következő pénteken kiderül, hogy „nem kereste” a címzett, így hétfőn (3. nap) visszaküldik a tértivevényes levelet, ami jó esetben kedden vagy szerdán (4</w:t>
      </w:r>
      <w:r>
        <w:rPr>
          <w:rFonts w:ascii="Times New Roman" w:hAnsi="Times New Roman" w:cs="Times New Roman"/>
          <w:i/>
        </w:rPr>
        <w:t>.</w:t>
      </w:r>
      <w:r w:rsidR="00BF3D6F">
        <w:rPr>
          <w:rFonts w:ascii="Times New Roman" w:hAnsi="Times New Roman" w:cs="Times New Roman"/>
          <w:i/>
        </w:rPr>
        <w:t xml:space="preserve"> vagy </w:t>
      </w:r>
      <w:r w:rsidR="00BF3D6F">
        <w:rPr>
          <w:rFonts w:ascii="Times New Roman" w:hAnsi="Times New Roman" w:cs="Times New Roman"/>
        </w:rPr>
        <w:t xml:space="preserve">5. nap) érkezik vissza. Ekkor tudja meg, hogy mikortól kell számítani a 8 napot, vagyis maradt 2-3 nap a feladat elvégzésére. Ha ez egy </w:t>
      </w:r>
      <w:r w:rsidR="00BF3D6F">
        <w:rPr>
          <w:rFonts w:ascii="Times New Roman" w:hAnsi="Times New Roman" w:cs="Times New Roman"/>
          <w:i/>
        </w:rPr>
        <w:t xml:space="preserve">hivatali </w:t>
      </w:r>
      <w:r w:rsidR="00BF3D6F">
        <w:rPr>
          <w:rFonts w:ascii="Times New Roman" w:hAnsi="Times New Roman" w:cs="Times New Roman"/>
        </w:rPr>
        <w:t>apparátussal rendelkező pl. közigazgatási szervnél fordul elő, ott könnyen megoldható a feladat. A békéltető testület nem ilyen, ezért nehéz a 8 napos határidő betartása egyes esetekben.</w:t>
      </w:r>
    </w:p>
    <w:p w:rsidR="00920ADB" w:rsidRDefault="00920ADB" w:rsidP="00105EA7">
      <w:pPr>
        <w:rPr>
          <w:rFonts w:ascii="Times New Roman" w:hAnsi="Times New Roman" w:cs="Times New Roman"/>
          <w:bCs/>
          <w:iCs/>
        </w:rPr>
        <w:sectPr w:rsidR="00920ADB" w:rsidSect="00153388">
          <w:pgSz w:w="11906" w:h="16838"/>
          <w:pgMar w:top="1417" w:right="1417" w:bottom="1417" w:left="1417" w:header="454" w:footer="454" w:gutter="0"/>
          <w:cols w:space="708"/>
          <w:titlePg/>
          <w:docGrid w:linePitch="360"/>
        </w:sectPr>
      </w:pPr>
    </w:p>
    <w:p w:rsidR="00105EA7" w:rsidRDefault="00105EA7" w:rsidP="00920ADB">
      <w:pPr>
        <w:rPr>
          <w:rFonts w:ascii="Times New Roman" w:hAnsi="Times New Roman" w:cs="Times New Roman"/>
          <w:b/>
          <w:bCs/>
          <w:i/>
          <w:iCs/>
          <w:sz w:val="28"/>
          <w:szCs w:val="28"/>
          <w:u w:val="single"/>
        </w:rPr>
      </w:pPr>
      <w:r w:rsidRPr="00A962B5">
        <w:rPr>
          <w:rFonts w:ascii="Times New Roman" w:hAnsi="Times New Roman" w:cs="Times New Roman"/>
          <w:b/>
          <w:bCs/>
          <w:i/>
          <w:iCs/>
          <w:sz w:val="28"/>
          <w:szCs w:val="28"/>
          <w:u w:val="single"/>
        </w:rPr>
        <w:t xml:space="preserve">6. Ismertesse, hogy mit tett a testület a </w:t>
      </w:r>
      <w:r w:rsidR="00830E45" w:rsidRPr="00A962B5">
        <w:rPr>
          <w:rFonts w:ascii="Times New Roman" w:hAnsi="Times New Roman" w:cs="Times New Roman"/>
          <w:b/>
          <w:bCs/>
          <w:i/>
          <w:iCs/>
          <w:sz w:val="28"/>
          <w:szCs w:val="28"/>
          <w:u w:val="single"/>
        </w:rPr>
        <w:t>Vállalkozás</w:t>
      </w:r>
      <w:r w:rsidRPr="00A962B5">
        <w:rPr>
          <w:rFonts w:ascii="Times New Roman" w:hAnsi="Times New Roman" w:cs="Times New Roman"/>
          <w:b/>
          <w:bCs/>
          <w:i/>
          <w:iCs/>
          <w:sz w:val="28"/>
          <w:szCs w:val="28"/>
          <w:u w:val="single"/>
        </w:rPr>
        <w:t>ok együttműködési készségének fokozása érdekében, mik az ezt akadályozó körülmények, illetve az együttműködés milyen módon ösztönözhető!</w:t>
      </w:r>
    </w:p>
    <w:p w:rsidR="008660DB" w:rsidRDefault="008660DB" w:rsidP="00A962B5">
      <w:pPr>
        <w:jc w:val="center"/>
        <w:rPr>
          <w:rFonts w:ascii="Times New Roman" w:hAnsi="Times New Roman" w:cs="Times New Roman"/>
          <w:b/>
          <w:bCs/>
          <w:i/>
          <w:iCs/>
          <w:sz w:val="28"/>
          <w:szCs w:val="28"/>
          <w:u w:val="single"/>
        </w:rPr>
      </w:pPr>
    </w:p>
    <w:p w:rsidR="008660DB" w:rsidRDefault="008660DB" w:rsidP="008660DB">
      <w:pPr>
        <w:rPr>
          <w:rFonts w:ascii="Times New Roman" w:hAnsi="Times New Roman" w:cs="Times New Roman"/>
          <w:bCs/>
          <w:iCs/>
        </w:rPr>
      </w:pPr>
      <w:r>
        <w:rPr>
          <w:rFonts w:ascii="Times New Roman" w:hAnsi="Times New Roman" w:cs="Times New Roman"/>
          <w:bCs/>
          <w:iCs/>
        </w:rPr>
        <w:t>Az a véleményünk, hogy ebben elsősorban nem a békéltető testületnek vannak lehetőségei, hanem a Vállalkozások érdekképviseleti, szakmai szervezeteinek.</w:t>
      </w:r>
    </w:p>
    <w:p w:rsidR="000F2D52" w:rsidRDefault="008660DB" w:rsidP="008660DB">
      <w:pPr>
        <w:rPr>
          <w:rFonts w:ascii="Times New Roman" w:hAnsi="Times New Roman" w:cs="Times New Roman"/>
          <w:bCs/>
          <w:iCs/>
        </w:rPr>
      </w:pPr>
      <w:r>
        <w:rPr>
          <w:rFonts w:ascii="Times New Roman" w:hAnsi="Times New Roman" w:cs="Times New Roman"/>
          <w:bCs/>
          <w:iCs/>
        </w:rPr>
        <w:t>Az, hogy a testület elnöke rendszeresen tájékoz</w:t>
      </w:r>
      <w:r w:rsidR="00BB1F8C">
        <w:rPr>
          <w:rFonts w:ascii="Times New Roman" w:hAnsi="Times New Roman" w:cs="Times New Roman"/>
          <w:bCs/>
          <w:iCs/>
        </w:rPr>
        <w:t>tatást ad a Kamara vezetésének a munka során szerzett tapasztalataikról, az esetlegesen megyei Vállalkozásokat érintő problémákról, kérve azt, hogy ne múljon el olyan fontosabb kamarai rendezvény, ahol ne esne szó a testület tevékenységével összefüggő kérdésekről; hogy nagyon széles tájékozódási felületet ad a kamara azzal, hogy a honlapok átjárhatók, így megismerhetők a testületre vonatkozó szabályok mellett az egyes ügyekben hozott (anonim) döntések is, hogy a</w:t>
      </w:r>
      <w:r>
        <w:rPr>
          <w:rFonts w:ascii="Times New Roman" w:hAnsi="Times New Roman" w:cs="Times New Roman"/>
          <w:bCs/>
          <w:iCs/>
        </w:rPr>
        <w:t xml:space="preserve"> szakoktatási </w:t>
      </w:r>
      <w:r w:rsidR="00BB1F8C">
        <w:rPr>
          <w:rFonts w:ascii="Times New Roman" w:hAnsi="Times New Roman" w:cs="Times New Roman"/>
          <w:bCs/>
          <w:iCs/>
        </w:rPr>
        <w:t xml:space="preserve">vezető és munkatársai is figyelemmel kísérik az évek óta a szakképző iskolában  folyó ismertetőinket, és nagy figyelemmel vannak arra, hogy a testület megszervezi azt is, hogy a diákok, a leendő kereskedők, logisztikusok, vagy leendő vásárlók, szolgáltatás igénybe vevők  betekintést nyerhessenek konkrét meghallgatásokba is; olyan, majd csak a jövőben mérhető </w:t>
      </w:r>
      <w:r w:rsidR="000F2D52">
        <w:rPr>
          <w:rFonts w:ascii="Times New Roman" w:hAnsi="Times New Roman" w:cs="Times New Roman"/>
          <w:bCs/>
          <w:iCs/>
        </w:rPr>
        <w:t>eredményeket hozhat, amivel az együttműködés javulhat. Ugyanez a helyzet</w:t>
      </w:r>
      <w:r>
        <w:rPr>
          <w:rFonts w:ascii="Times New Roman" w:hAnsi="Times New Roman" w:cs="Times New Roman"/>
          <w:bCs/>
          <w:iCs/>
        </w:rPr>
        <w:t xml:space="preserve"> </w:t>
      </w:r>
      <w:r w:rsidR="000F2D52">
        <w:rPr>
          <w:rFonts w:ascii="Times New Roman" w:hAnsi="Times New Roman" w:cs="Times New Roman"/>
          <w:bCs/>
          <w:iCs/>
        </w:rPr>
        <w:t xml:space="preserve">a </w:t>
      </w:r>
      <w:r w:rsidR="00BB1F8C">
        <w:rPr>
          <w:rFonts w:ascii="Times New Roman" w:hAnsi="Times New Roman" w:cs="Times New Roman"/>
          <w:bCs/>
          <w:iCs/>
        </w:rPr>
        <w:t xml:space="preserve">gazdaságfejlesztési irodavezetővel </w:t>
      </w:r>
      <w:r w:rsidR="000F2D52">
        <w:rPr>
          <w:rFonts w:ascii="Times New Roman" w:hAnsi="Times New Roman" w:cs="Times New Roman"/>
          <w:bCs/>
          <w:iCs/>
        </w:rPr>
        <w:t xml:space="preserve">folytatott eszmecserével kapcsolatosan is. </w:t>
      </w:r>
    </w:p>
    <w:p w:rsidR="00803BF0" w:rsidRDefault="00803BF0" w:rsidP="00105EA7">
      <w:pPr>
        <w:rPr>
          <w:rFonts w:ascii="Times New Roman" w:hAnsi="Times New Roman" w:cs="Times New Roman"/>
          <w:bCs/>
          <w:iCs/>
        </w:rPr>
      </w:pPr>
    </w:p>
    <w:p w:rsidR="00E32221" w:rsidRDefault="000F2D52" w:rsidP="00105EA7">
      <w:pPr>
        <w:rPr>
          <w:rFonts w:ascii="Times New Roman" w:hAnsi="Times New Roman" w:cs="Times New Roman"/>
          <w:bCs/>
          <w:iCs/>
        </w:rPr>
      </w:pPr>
      <w:r>
        <w:rPr>
          <w:rFonts w:ascii="Times New Roman" w:hAnsi="Times New Roman" w:cs="Times New Roman"/>
          <w:bCs/>
          <w:iCs/>
        </w:rPr>
        <w:t>A testület tagjai között van jelenleg is, aki több év óta kamarai küldött volt, így közvetlenül is, és mint korábban aktív kereskedő is kapcsolódhatott nemcsak a rendezvényeken keresztül a vállalkozásokhoz, megosztva a tapasztalatokat, felhív</w:t>
      </w:r>
      <w:r w:rsidR="00920ADB">
        <w:rPr>
          <w:rFonts w:ascii="Times New Roman" w:hAnsi="Times New Roman" w:cs="Times New Roman"/>
          <w:bCs/>
          <w:iCs/>
        </w:rPr>
        <w:t>t</w:t>
      </w:r>
      <w:r>
        <w:rPr>
          <w:rFonts w:ascii="Times New Roman" w:hAnsi="Times New Roman" w:cs="Times New Roman"/>
          <w:bCs/>
          <w:iCs/>
        </w:rPr>
        <w:t>a a figyelmet a fontosabb szabályokra is.</w:t>
      </w:r>
    </w:p>
    <w:p w:rsidR="000F2D52" w:rsidRDefault="000F2D52" w:rsidP="00105EA7">
      <w:pPr>
        <w:rPr>
          <w:rFonts w:ascii="Times New Roman" w:hAnsi="Times New Roman" w:cs="Times New Roman"/>
          <w:bCs/>
          <w:iCs/>
        </w:rPr>
      </w:pPr>
      <w:r>
        <w:rPr>
          <w:rFonts w:ascii="Times New Roman" w:hAnsi="Times New Roman" w:cs="Times New Roman"/>
          <w:bCs/>
          <w:iCs/>
        </w:rPr>
        <w:t>Látszólag talán nem egyértelműen kapcsolható ide az a lehetőség, amit az adott meg számunkra, hogy még a tavalyi évben a fogyasztóvédő szervezet egyik megyei vezetője is tagja volt a testületnek, illetve a megyei nyugdíjas szerveződéseket összefogó szervezet elnöke is tagjaink között van, és ők a sajátos érdekvédelmi tevékenységük során jutnak el a Vállalkozásokhoz, ahol arra ösztönzik azokat, hogy a tudatos vásárlóvá váláshoz, a Vállalkozások is járuljanak hozzá, hogy legyenek az együttműködésre készek.</w:t>
      </w:r>
    </w:p>
    <w:p w:rsidR="00803BF0" w:rsidRDefault="00803BF0" w:rsidP="00105EA7">
      <w:pPr>
        <w:rPr>
          <w:rFonts w:ascii="Times New Roman" w:hAnsi="Times New Roman" w:cs="Times New Roman"/>
          <w:bCs/>
          <w:iCs/>
        </w:rPr>
      </w:pPr>
    </w:p>
    <w:p w:rsidR="00803BF0" w:rsidRDefault="00803BF0" w:rsidP="00105EA7">
      <w:pPr>
        <w:rPr>
          <w:rFonts w:ascii="Times New Roman" w:hAnsi="Times New Roman" w:cs="Times New Roman"/>
          <w:bCs/>
          <w:iCs/>
        </w:rPr>
      </w:pPr>
      <w:r>
        <w:rPr>
          <w:rFonts w:ascii="Times New Roman" w:hAnsi="Times New Roman" w:cs="Times New Roman"/>
          <w:bCs/>
          <w:iCs/>
        </w:rPr>
        <w:t xml:space="preserve">Megemlítjük még azt is, hogy tagjaink között vannak, akik részt vettek a mestervizsgákra, egyéb szakvizsgákra való felkészítésekben, </w:t>
      </w:r>
      <w:r w:rsidR="00EF4CD2">
        <w:rPr>
          <w:rFonts w:ascii="Times New Roman" w:hAnsi="Times New Roman" w:cs="Times New Roman"/>
          <w:bCs/>
          <w:iCs/>
        </w:rPr>
        <w:t xml:space="preserve">és akik a szakmunkások </w:t>
      </w:r>
      <w:r>
        <w:rPr>
          <w:rFonts w:ascii="Times New Roman" w:hAnsi="Times New Roman" w:cs="Times New Roman"/>
          <w:bCs/>
          <w:iCs/>
        </w:rPr>
        <w:t>vizsgáztatásban is</w:t>
      </w:r>
      <w:r w:rsidR="008B1AF7">
        <w:rPr>
          <w:rFonts w:ascii="Times New Roman" w:hAnsi="Times New Roman" w:cs="Times New Roman"/>
          <w:bCs/>
          <w:iCs/>
        </w:rPr>
        <w:t xml:space="preserve"> </w:t>
      </w:r>
      <w:r w:rsidR="00EF4CD2">
        <w:rPr>
          <w:rFonts w:ascii="Times New Roman" w:hAnsi="Times New Roman" w:cs="Times New Roman"/>
          <w:bCs/>
          <w:iCs/>
        </w:rPr>
        <w:t>részt vettek már évek óta</w:t>
      </w:r>
      <w:r w:rsidR="008B1AF7">
        <w:rPr>
          <w:rFonts w:ascii="Times New Roman" w:hAnsi="Times New Roman" w:cs="Times New Roman"/>
          <w:bCs/>
          <w:iCs/>
        </w:rPr>
        <w:t xml:space="preserve">– így az ő révükön a már gyakorló szakemberek </w:t>
      </w:r>
      <w:r w:rsidR="00EF4CD2">
        <w:rPr>
          <w:rFonts w:ascii="Times New Roman" w:hAnsi="Times New Roman" w:cs="Times New Roman"/>
          <w:bCs/>
          <w:iCs/>
        </w:rPr>
        <w:t>mellett,</w:t>
      </w:r>
      <w:r w:rsidR="008B1AF7">
        <w:rPr>
          <w:rFonts w:ascii="Times New Roman" w:hAnsi="Times New Roman" w:cs="Times New Roman"/>
          <w:bCs/>
          <w:iCs/>
        </w:rPr>
        <w:t xml:space="preserve"> információhoz jutottak</w:t>
      </w:r>
      <w:r w:rsidR="00EF4CD2">
        <w:rPr>
          <w:rFonts w:ascii="Times New Roman" w:hAnsi="Times New Roman" w:cs="Times New Roman"/>
          <w:bCs/>
          <w:iCs/>
        </w:rPr>
        <w:t xml:space="preserve"> a leendő szakemberek is</w:t>
      </w:r>
      <w:r w:rsidR="008B1AF7">
        <w:rPr>
          <w:rFonts w:ascii="Times New Roman" w:hAnsi="Times New Roman" w:cs="Times New Roman"/>
          <w:bCs/>
          <w:iCs/>
        </w:rPr>
        <w:t>.</w:t>
      </w:r>
    </w:p>
    <w:p w:rsidR="008B1AF7" w:rsidRDefault="008B1AF7" w:rsidP="00105EA7">
      <w:pPr>
        <w:rPr>
          <w:rFonts w:ascii="Times New Roman" w:hAnsi="Times New Roman" w:cs="Times New Roman"/>
          <w:bCs/>
          <w:iCs/>
        </w:rPr>
      </w:pPr>
    </w:p>
    <w:p w:rsidR="008B1AF7" w:rsidRDefault="008B1AF7" w:rsidP="00105EA7">
      <w:pPr>
        <w:rPr>
          <w:rFonts w:ascii="Times New Roman" w:hAnsi="Times New Roman" w:cs="Times New Roman"/>
          <w:bCs/>
          <w:iCs/>
        </w:rPr>
      </w:pPr>
      <w:r>
        <w:rPr>
          <w:rFonts w:ascii="Times New Roman" w:hAnsi="Times New Roman" w:cs="Times New Roman"/>
          <w:bCs/>
          <w:iCs/>
        </w:rPr>
        <w:t xml:space="preserve">Ugyancsak említésre érdemes, hogy a Pannon Egyetem </w:t>
      </w:r>
      <w:r w:rsidR="00EF4CD2">
        <w:rPr>
          <w:rFonts w:ascii="Times New Roman" w:hAnsi="Times New Roman" w:cs="Times New Roman"/>
          <w:bCs/>
          <w:iCs/>
        </w:rPr>
        <w:t>Nemzetközi Tanulmányok mesterszakán fogyasztóvédelmi „szakirányú” 30 órás kurzus volt, amelyet egyik tagunk vezetett. A hallgatók külön is tájékoztatást kaptak a testület tevékenységéről, és részt vettek egy meghallgatáson is.</w:t>
      </w:r>
    </w:p>
    <w:p w:rsidR="000F2D52" w:rsidRPr="00E32221" w:rsidRDefault="000F2D52" w:rsidP="00105EA7">
      <w:pPr>
        <w:rPr>
          <w:rFonts w:ascii="Times New Roman" w:hAnsi="Times New Roman" w:cs="Times New Roman"/>
          <w:bCs/>
          <w:i/>
          <w:iCs/>
          <w:sz w:val="28"/>
          <w:szCs w:val="28"/>
          <w:u w:val="single"/>
        </w:rPr>
      </w:pPr>
    </w:p>
    <w:p w:rsidR="00105EA7" w:rsidRDefault="00105EA7" w:rsidP="00920ADB">
      <w:pPr>
        <w:rPr>
          <w:rFonts w:ascii="Times New Roman" w:hAnsi="Times New Roman" w:cs="Times New Roman"/>
          <w:b/>
          <w:bCs/>
          <w:i/>
          <w:iCs/>
          <w:sz w:val="28"/>
          <w:szCs w:val="28"/>
          <w:u w:val="single"/>
        </w:rPr>
      </w:pPr>
      <w:r w:rsidRPr="00A962B5">
        <w:rPr>
          <w:rFonts w:ascii="Times New Roman" w:hAnsi="Times New Roman" w:cs="Times New Roman"/>
          <w:b/>
          <w:bCs/>
          <w:i/>
          <w:iCs/>
          <w:sz w:val="28"/>
          <w:szCs w:val="28"/>
          <w:u w:val="single"/>
        </w:rPr>
        <w:t>7. Mutassa be a promóciós kampányuk elemeit, azok eredményességét. Csatolja a hirdetések másolatát, és TV és rádió spot esetén CD mellékletet.</w:t>
      </w:r>
    </w:p>
    <w:p w:rsidR="000F2D52" w:rsidRDefault="000F2D52" w:rsidP="00A962B5">
      <w:pPr>
        <w:jc w:val="center"/>
        <w:rPr>
          <w:rFonts w:ascii="Times New Roman" w:hAnsi="Times New Roman" w:cs="Times New Roman"/>
          <w:b/>
          <w:bCs/>
          <w:i/>
          <w:iCs/>
          <w:sz w:val="28"/>
          <w:szCs w:val="28"/>
          <w:u w:val="single"/>
        </w:rPr>
      </w:pPr>
    </w:p>
    <w:p w:rsidR="000F2D52" w:rsidRDefault="00803BF0" w:rsidP="000F2D52">
      <w:pPr>
        <w:rPr>
          <w:rFonts w:ascii="Times New Roman" w:hAnsi="Times New Roman" w:cs="Times New Roman"/>
          <w:bCs/>
          <w:iCs/>
        </w:rPr>
      </w:pPr>
      <w:r>
        <w:rPr>
          <w:rFonts w:ascii="Times New Roman" w:hAnsi="Times New Roman" w:cs="Times New Roman"/>
          <w:bCs/>
          <w:iCs/>
        </w:rPr>
        <w:t xml:space="preserve">Azzal együtt, hogy rendszeresen megjelentek közleményeink, rövidebb-hosszabb írásaink a Napló mellékletében, és hogy a helyettes államtitkári látogatás élénk sajtót kapott, valamint, hogy pozitív visszajelzésein vannak a Regina TV-ben folytatott beszélgetésről is, változatlanul az a véleményünk, hogy a költségvetésből számunkra biztosított összegből nem volna szükséges még elkülöníteni több százezer forintot, mert nem mérhető közvetlenül a hatás. </w:t>
      </w:r>
    </w:p>
    <w:p w:rsidR="00803BF0" w:rsidRPr="000F2D52" w:rsidRDefault="00803BF0" w:rsidP="000F2D52">
      <w:pPr>
        <w:rPr>
          <w:rFonts w:ascii="Times New Roman" w:hAnsi="Times New Roman" w:cs="Times New Roman"/>
          <w:bCs/>
          <w:iCs/>
        </w:rPr>
      </w:pPr>
      <w:r>
        <w:rPr>
          <w:rFonts w:ascii="Times New Roman" w:hAnsi="Times New Roman" w:cs="Times New Roman"/>
          <w:bCs/>
          <w:iCs/>
        </w:rPr>
        <w:t>A megváltozott jogszabályok értelmében a Vállalkozások rendszeresen tájékoztatást adnak arról, hogy milyen eljárási lehetőségük van a Fogyasztóknak panaszaik intézésében (a nyomtatványok tartalmazzák a Békéltető testület nevesítését is), illetve a másik nagy „küldő” szervezet, a fogyasztóvédelem megyei szervezete. A tőlük érkezőket az ott dolgozók ellátják az általunk javasolt nyomtatvánnyal is, és általában szakszerűen „felkészítetten” érkeznek hozzánk a panaszosok, kérelmezők.</w:t>
      </w:r>
    </w:p>
    <w:p w:rsidR="00105EA7" w:rsidRPr="00105EA7" w:rsidRDefault="00105EA7" w:rsidP="00105EA7">
      <w:pPr>
        <w:rPr>
          <w:rFonts w:ascii="Times New Roman" w:hAnsi="Times New Roman" w:cs="Times New Roman"/>
          <w:bCs/>
          <w:iCs/>
        </w:rPr>
      </w:pPr>
    </w:p>
    <w:p w:rsidR="00105EA7" w:rsidRDefault="00105EA7" w:rsidP="00920ADB">
      <w:pPr>
        <w:rPr>
          <w:rFonts w:ascii="Times New Roman" w:hAnsi="Times New Roman" w:cs="Times New Roman"/>
          <w:b/>
          <w:bCs/>
          <w:i/>
          <w:iCs/>
          <w:sz w:val="28"/>
          <w:szCs w:val="28"/>
          <w:u w:val="single"/>
        </w:rPr>
      </w:pPr>
      <w:r w:rsidRPr="00A962B5">
        <w:rPr>
          <w:rFonts w:ascii="Times New Roman" w:hAnsi="Times New Roman" w:cs="Times New Roman"/>
          <w:b/>
          <w:bCs/>
          <w:i/>
          <w:iCs/>
          <w:sz w:val="28"/>
          <w:szCs w:val="28"/>
          <w:u w:val="single"/>
        </w:rPr>
        <w:t>8. Ismertesse a békéltető testületek részére nyújtott képzésről szóló tapasztalatokat és eredményeket. A testület maga tart-e bármilyen felkészítő tanfolyamot a tagjai számára? Amennyiben igen, milyen tapasztalatokkal rendelkezik?</w:t>
      </w:r>
    </w:p>
    <w:p w:rsidR="00A962B5" w:rsidRDefault="00A962B5" w:rsidP="00A962B5">
      <w:pPr>
        <w:jc w:val="center"/>
        <w:rPr>
          <w:rFonts w:ascii="Times New Roman" w:hAnsi="Times New Roman" w:cs="Times New Roman"/>
          <w:b/>
          <w:bCs/>
          <w:i/>
          <w:iCs/>
          <w:sz w:val="28"/>
          <w:szCs w:val="28"/>
          <w:u w:val="single"/>
        </w:rPr>
      </w:pPr>
    </w:p>
    <w:p w:rsidR="00A962B5" w:rsidRPr="00A24CCD" w:rsidRDefault="00A962B5" w:rsidP="00A962B5">
      <w:pPr>
        <w:rPr>
          <w:rFonts w:ascii="Times New Roman" w:hAnsi="Times New Roman" w:cs="Times New Roman"/>
          <w:bCs/>
          <w:iCs/>
        </w:rPr>
      </w:pPr>
      <w:r w:rsidRPr="00A24CCD">
        <w:rPr>
          <w:rFonts w:ascii="Times New Roman" w:hAnsi="Times New Roman" w:cs="Times New Roman"/>
          <w:bCs/>
          <w:iCs/>
        </w:rPr>
        <w:t>A képzéseket saját hatáskörben oldottuk meg. Egy-egy alkalommal az aktív tagok részvételével beszéltük meg a gyakorlati tapasztalatokat, illetve konzultáltuk meg a jogszabályok változásával kapcsolatos teendőinket. Több részletben vitattuk meg a saját eljárási szabályzatunka</w:t>
      </w:r>
      <w:r w:rsidR="00803BF0" w:rsidRPr="00A24CCD">
        <w:rPr>
          <w:rFonts w:ascii="Times New Roman" w:hAnsi="Times New Roman" w:cs="Times New Roman"/>
          <w:bCs/>
          <w:iCs/>
        </w:rPr>
        <w:t>t is</w:t>
      </w:r>
      <w:r w:rsidRPr="00A24CCD">
        <w:rPr>
          <w:rFonts w:ascii="Times New Roman" w:hAnsi="Times New Roman" w:cs="Times New Roman"/>
          <w:bCs/>
          <w:iCs/>
        </w:rPr>
        <w:t>, amelyet az előírásoknak megfelelően a honlapon is közzétettünk.</w:t>
      </w:r>
    </w:p>
    <w:p w:rsidR="00A962B5" w:rsidRPr="00A24CCD" w:rsidRDefault="00A962B5" w:rsidP="00A962B5">
      <w:pPr>
        <w:rPr>
          <w:rFonts w:ascii="Times New Roman" w:hAnsi="Times New Roman" w:cs="Times New Roman"/>
          <w:bCs/>
          <w:iCs/>
        </w:rPr>
      </w:pPr>
      <w:r w:rsidRPr="00A24CCD">
        <w:rPr>
          <w:rFonts w:ascii="Times New Roman" w:hAnsi="Times New Roman" w:cs="Times New Roman"/>
          <w:bCs/>
          <w:iCs/>
        </w:rPr>
        <w:t xml:space="preserve">Ugyancsak konzultáció előzi meg a szakmai kérdésekben való tájékoztatásainkat is. </w:t>
      </w:r>
      <w:r w:rsidR="006A6D9F" w:rsidRPr="00A24CCD">
        <w:rPr>
          <w:rFonts w:ascii="Times New Roman" w:hAnsi="Times New Roman" w:cs="Times New Roman"/>
          <w:bCs/>
          <w:iCs/>
        </w:rPr>
        <w:t xml:space="preserve">Alkalmazzuk az írásban való kommunikációt e téren is, e-mailen „cserélünk” véleményt fontos kérdésekről. </w:t>
      </w:r>
    </w:p>
    <w:p w:rsidR="006A6D9F" w:rsidRPr="00A24CCD" w:rsidRDefault="006A6D9F" w:rsidP="00A962B5">
      <w:pPr>
        <w:rPr>
          <w:rFonts w:ascii="Times New Roman" w:hAnsi="Times New Roman" w:cs="Times New Roman"/>
          <w:bCs/>
          <w:iCs/>
        </w:rPr>
      </w:pPr>
      <w:r w:rsidRPr="00A24CCD">
        <w:rPr>
          <w:rFonts w:ascii="Times New Roman" w:hAnsi="Times New Roman" w:cs="Times New Roman"/>
          <w:bCs/>
          <w:iCs/>
        </w:rPr>
        <w:t>Tanfolyam tartását</w:t>
      </w:r>
      <w:r w:rsidR="00803BF0" w:rsidRPr="00A24CCD">
        <w:rPr>
          <w:rFonts w:ascii="Times New Roman" w:hAnsi="Times New Roman" w:cs="Times New Roman"/>
          <w:bCs/>
          <w:iCs/>
        </w:rPr>
        <w:t>,</w:t>
      </w:r>
      <w:r w:rsidRPr="00A24CCD">
        <w:rPr>
          <w:rFonts w:ascii="Times New Roman" w:hAnsi="Times New Roman" w:cs="Times New Roman"/>
          <w:bCs/>
          <w:iCs/>
        </w:rPr>
        <w:t xml:space="preserve"> egyenlőre nem tartjuk megoldhatónak, kivitelezhetőnek – a 2016-ban felálló új testület felkészítésének módszerét majd közösen alakítjuk ki az új tagokkal.</w:t>
      </w:r>
    </w:p>
    <w:p w:rsidR="00105EA7" w:rsidRPr="00105EA7" w:rsidRDefault="00105EA7" w:rsidP="00105EA7">
      <w:pPr>
        <w:rPr>
          <w:rFonts w:ascii="Times New Roman" w:hAnsi="Times New Roman" w:cs="Times New Roman"/>
          <w:bCs/>
          <w:iCs/>
        </w:rPr>
      </w:pPr>
    </w:p>
    <w:p w:rsidR="00105EA7" w:rsidRDefault="00105EA7" w:rsidP="00920ADB">
      <w:pPr>
        <w:rPr>
          <w:rFonts w:ascii="Times New Roman" w:hAnsi="Times New Roman" w:cs="Times New Roman"/>
          <w:b/>
          <w:bCs/>
          <w:i/>
          <w:iCs/>
          <w:sz w:val="28"/>
          <w:szCs w:val="28"/>
          <w:u w:val="single"/>
        </w:rPr>
      </w:pPr>
      <w:r w:rsidRPr="006A6D9F">
        <w:rPr>
          <w:rFonts w:ascii="Times New Roman" w:hAnsi="Times New Roman" w:cs="Times New Roman"/>
          <w:b/>
          <w:bCs/>
          <w:i/>
          <w:iCs/>
          <w:sz w:val="28"/>
          <w:szCs w:val="28"/>
          <w:u w:val="single"/>
        </w:rPr>
        <w:t>9. Ismertesse, milyen szakmai rendezvényen/képzésen vettek részt a testület tagjai. Mutassa be és csatolja a testület kiadványait és publikációit.</w:t>
      </w:r>
    </w:p>
    <w:p w:rsidR="006A6D9F" w:rsidRDefault="006A6D9F" w:rsidP="006A6D9F">
      <w:pPr>
        <w:rPr>
          <w:rFonts w:ascii="Times New Roman" w:hAnsi="Times New Roman" w:cs="Times New Roman"/>
          <w:b/>
          <w:bCs/>
          <w:i/>
          <w:iCs/>
          <w:sz w:val="28"/>
          <w:szCs w:val="28"/>
          <w:u w:val="single"/>
        </w:rPr>
      </w:pPr>
    </w:p>
    <w:p w:rsidR="006A6D9F" w:rsidRPr="00A24CCD" w:rsidRDefault="006A6D9F" w:rsidP="006A6D9F">
      <w:pPr>
        <w:rPr>
          <w:rFonts w:ascii="Times New Roman" w:hAnsi="Times New Roman" w:cs="Times New Roman"/>
          <w:bCs/>
          <w:iCs/>
        </w:rPr>
      </w:pPr>
      <w:r w:rsidRPr="00A24CCD">
        <w:rPr>
          <w:rFonts w:ascii="Times New Roman" w:hAnsi="Times New Roman" w:cs="Times New Roman"/>
          <w:bCs/>
          <w:iCs/>
        </w:rPr>
        <w:t xml:space="preserve">2015-ben nem volt ilyen alkalom. </w:t>
      </w:r>
    </w:p>
    <w:p w:rsidR="006A6D9F" w:rsidRPr="00A24CCD" w:rsidRDefault="00EF4CD2" w:rsidP="006A6D9F">
      <w:pPr>
        <w:rPr>
          <w:rFonts w:ascii="Times New Roman" w:hAnsi="Times New Roman" w:cs="Times New Roman"/>
          <w:bCs/>
          <w:iCs/>
        </w:rPr>
      </w:pPr>
      <w:r w:rsidRPr="00A24CCD">
        <w:rPr>
          <w:rFonts w:ascii="Times New Roman" w:hAnsi="Times New Roman" w:cs="Times New Roman"/>
          <w:bCs/>
          <w:iCs/>
        </w:rPr>
        <w:t>A Pannon Egyetem Nemzetközi Tanulmányok Intézetének keretében előadóként vett részt egyik tagunk</w:t>
      </w:r>
    </w:p>
    <w:p w:rsidR="006A6D9F" w:rsidRPr="00A24CCD" w:rsidRDefault="006A6D9F" w:rsidP="006A6D9F">
      <w:pPr>
        <w:rPr>
          <w:rFonts w:ascii="Times New Roman" w:hAnsi="Times New Roman" w:cs="Times New Roman"/>
          <w:bCs/>
          <w:iCs/>
        </w:rPr>
      </w:pPr>
      <w:r w:rsidRPr="00A24CCD">
        <w:rPr>
          <w:rFonts w:ascii="Times New Roman" w:hAnsi="Times New Roman" w:cs="Times New Roman"/>
          <w:bCs/>
          <w:iCs/>
        </w:rPr>
        <w:t xml:space="preserve">A </w:t>
      </w:r>
      <w:r w:rsidRPr="00A24CCD">
        <w:rPr>
          <w:rFonts w:ascii="Times New Roman" w:eastAsia="Times New Roman" w:hAnsi="Times New Roman" w:cs="Times New Roman"/>
          <w:lang w:eastAsia="hu-HU"/>
        </w:rPr>
        <w:t>Jendrassik-Venesz Középiskola és Szakiskola legközelebb 2016 januárjában vesz részt „képzésen”, illetve kapcsolódik majd be meghallgatás</w:t>
      </w:r>
      <w:r w:rsidR="00EF4CD2" w:rsidRPr="00A24CCD">
        <w:rPr>
          <w:rFonts w:ascii="Times New Roman" w:eastAsia="Times New Roman" w:hAnsi="Times New Roman" w:cs="Times New Roman"/>
          <w:lang w:eastAsia="hu-HU"/>
        </w:rPr>
        <w:t>ok</w:t>
      </w:r>
      <w:r w:rsidRPr="00A24CCD">
        <w:rPr>
          <w:rFonts w:ascii="Times New Roman" w:eastAsia="Times New Roman" w:hAnsi="Times New Roman" w:cs="Times New Roman"/>
          <w:lang w:eastAsia="hu-HU"/>
        </w:rPr>
        <w:t>ba is.</w:t>
      </w:r>
    </w:p>
    <w:p w:rsidR="00105EA7" w:rsidRPr="00E32221" w:rsidRDefault="00105EA7" w:rsidP="00105EA7">
      <w:pPr>
        <w:rPr>
          <w:rFonts w:ascii="Times New Roman" w:hAnsi="Times New Roman" w:cs="Times New Roman"/>
          <w:bCs/>
          <w:i/>
          <w:iCs/>
          <w:sz w:val="28"/>
          <w:szCs w:val="28"/>
          <w:u w:val="single"/>
        </w:rPr>
      </w:pPr>
    </w:p>
    <w:p w:rsidR="00105EA7" w:rsidRPr="006A6D9F" w:rsidRDefault="00105EA7" w:rsidP="00920ADB">
      <w:pPr>
        <w:rPr>
          <w:rFonts w:ascii="Times New Roman" w:hAnsi="Times New Roman" w:cs="Times New Roman"/>
          <w:b/>
          <w:bCs/>
          <w:i/>
          <w:iCs/>
          <w:sz w:val="28"/>
          <w:szCs w:val="28"/>
          <w:u w:val="single"/>
        </w:rPr>
      </w:pPr>
      <w:r w:rsidRPr="006A6D9F">
        <w:rPr>
          <w:rFonts w:ascii="Times New Roman" w:hAnsi="Times New Roman" w:cs="Times New Roman"/>
          <w:b/>
          <w:bCs/>
          <w:i/>
          <w:iCs/>
          <w:sz w:val="28"/>
          <w:szCs w:val="28"/>
          <w:u w:val="single"/>
        </w:rPr>
        <w:t>10. Ismertesse tanácsadási tevékenysége során szerzett tapasztalatokat, a testület tanácsadási rendszerét, illetve ügyfélszolgálatának működését.</w:t>
      </w:r>
    </w:p>
    <w:p w:rsidR="00105EA7" w:rsidRPr="006A6D9F" w:rsidRDefault="00105EA7" w:rsidP="00920ADB">
      <w:pPr>
        <w:rPr>
          <w:rFonts w:ascii="Times New Roman" w:hAnsi="Times New Roman" w:cs="Times New Roman"/>
          <w:b/>
          <w:bCs/>
          <w:i/>
          <w:iCs/>
          <w:sz w:val="28"/>
          <w:szCs w:val="28"/>
          <w:u w:val="single"/>
        </w:rPr>
      </w:pPr>
      <w:r w:rsidRPr="006A6D9F">
        <w:rPr>
          <w:rFonts w:ascii="Times New Roman" w:hAnsi="Times New Roman" w:cs="Times New Roman"/>
          <w:b/>
          <w:bCs/>
          <w:i/>
          <w:iCs/>
          <w:sz w:val="28"/>
          <w:szCs w:val="28"/>
          <w:u w:val="single"/>
        </w:rPr>
        <w:t>Ismertesse, hogy tagja–e a testület valamely határon átnyúló alternatív vitarendezést elősegítő hálózatnak. Amennyiben tagja, mutassa be az együttműködés eredményeit.</w:t>
      </w:r>
    </w:p>
    <w:p w:rsidR="004D3770" w:rsidRPr="006A6D9F" w:rsidRDefault="004D3770" w:rsidP="006A6D9F">
      <w:pPr>
        <w:jc w:val="center"/>
        <w:rPr>
          <w:rFonts w:ascii="Times New Roman" w:hAnsi="Times New Roman" w:cs="Times New Roman"/>
          <w:b/>
          <w:bCs/>
          <w:iCs/>
        </w:rPr>
      </w:pPr>
    </w:p>
    <w:p w:rsidR="004D3770" w:rsidRPr="00A24CCD" w:rsidRDefault="008D4C11" w:rsidP="00105EA7">
      <w:pPr>
        <w:rPr>
          <w:rFonts w:ascii="Times New Roman" w:hAnsi="Times New Roman" w:cs="Times New Roman"/>
          <w:bCs/>
          <w:iCs/>
        </w:rPr>
      </w:pPr>
      <w:r w:rsidRPr="00A24CCD">
        <w:rPr>
          <w:rFonts w:ascii="Times New Roman" w:hAnsi="Times New Roman" w:cs="Times New Roman"/>
          <w:b/>
          <w:bCs/>
          <w:iCs/>
        </w:rPr>
        <w:t xml:space="preserve">10.1. </w:t>
      </w:r>
      <w:r w:rsidR="004D3770" w:rsidRPr="00A24CCD">
        <w:rPr>
          <w:rFonts w:ascii="Times New Roman" w:hAnsi="Times New Roman" w:cs="Times New Roman"/>
          <w:bCs/>
          <w:iCs/>
        </w:rPr>
        <w:t>A testület nem tart fenn ügyfélszolgálatot, erre sem az emberi erőforrás, sem annak pénzügyi feltételei nem adottak.</w:t>
      </w:r>
    </w:p>
    <w:p w:rsidR="00721615" w:rsidRPr="00A24CCD" w:rsidRDefault="00721615" w:rsidP="00105EA7">
      <w:pPr>
        <w:rPr>
          <w:rFonts w:ascii="Times New Roman" w:hAnsi="Times New Roman" w:cs="Times New Roman"/>
          <w:bCs/>
          <w:iCs/>
        </w:rPr>
      </w:pPr>
      <w:r w:rsidRPr="00A24CCD">
        <w:rPr>
          <w:rFonts w:ascii="Times New Roman" w:hAnsi="Times New Roman" w:cs="Times New Roman"/>
          <w:bCs/>
          <w:iCs/>
        </w:rPr>
        <w:t>Keddenként 08:00 és 13:00 óra között tartunk fogadóórát. Arra is van lehetőség, hogy egyéni megbeszélés után más időben is találkozzon az érdeklődő a testület tagjával.</w:t>
      </w:r>
    </w:p>
    <w:p w:rsidR="004D3770" w:rsidRPr="00A24CCD" w:rsidRDefault="004D3770" w:rsidP="00105EA7">
      <w:pPr>
        <w:rPr>
          <w:rFonts w:ascii="Times New Roman" w:hAnsi="Times New Roman" w:cs="Times New Roman"/>
          <w:bCs/>
          <w:iCs/>
        </w:rPr>
      </w:pPr>
      <w:r w:rsidRPr="00A24CCD">
        <w:rPr>
          <w:rFonts w:ascii="Times New Roman" w:hAnsi="Times New Roman" w:cs="Times New Roman"/>
          <w:bCs/>
          <w:iCs/>
        </w:rPr>
        <w:t xml:space="preserve">A Kamara titkárságán dolgozó munkatársak a kamarai ügyfélfogadási időben </w:t>
      </w:r>
      <w:r w:rsidR="00721615" w:rsidRPr="00A24CCD">
        <w:rPr>
          <w:rFonts w:ascii="Times New Roman" w:hAnsi="Times New Roman" w:cs="Times New Roman"/>
          <w:bCs/>
          <w:iCs/>
        </w:rPr>
        <w:t>fogadják a személyesen, telefonon jelentkező érdeklődőket, Fogyasztókat, és a testület működésével kapcsolatos legfontosabb információkat megadják számukra. Az elnök magántelefonszámának megadásával lehetőséget biztosítunk arra, hogy megkeressék. A honlapon is közzétettek szerint elérhetősége munkanapokon a délelőtti órákban lehetséges, azonban a megkeresések a nap egyéb szakaszaiban is rendszeresek.</w:t>
      </w:r>
    </w:p>
    <w:p w:rsidR="00721615" w:rsidRPr="00A24CCD" w:rsidRDefault="00721615" w:rsidP="00105EA7">
      <w:pPr>
        <w:rPr>
          <w:rFonts w:ascii="Times New Roman" w:hAnsi="Times New Roman" w:cs="Times New Roman"/>
          <w:bCs/>
          <w:iCs/>
        </w:rPr>
      </w:pPr>
      <w:r w:rsidRPr="00A24CCD">
        <w:rPr>
          <w:rFonts w:ascii="Times New Roman" w:hAnsi="Times New Roman" w:cs="Times New Roman"/>
          <w:bCs/>
          <w:iCs/>
        </w:rPr>
        <w:t>A tanácsadást is ő végzi, írásban és szóban egyaránt.</w:t>
      </w:r>
    </w:p>
    <w:p w:rsidR="002E75E0" w:rsidRPr="00A24CCD" w:rsidRDefault="002E75E0" w:rsidP="002E75E0">
      <w:pPr>
        <w:rPr>
          <w:rFonts w:ascii="Times New Roman" w:eastAsia="Times New Roman" w:hAnsi="Times New Roman" w:cs="Times New Roman"/>
          <w:bCs/>
          <w:iCs/>
          <w:lang w:eastAsia="hu-HU"/>
        </w:rPr>
      </w:pPr>
      <w:r w:rsidRPr="00A24CCD">
        <w:rPr>
          <w:rFonts w:ascii="Times New Roman" w:hAnsi="Times New Roman" w:cs="Times New Roman"/>
          <w:bCs/>
          <w:iCs/>
        </w:rPr>
        <w:t xml:space="preserve">Változatlanul az állapítható meg, hogy </w:t>
      </w:r>
      <w:r w:rsidRPr="00A24CCD">
        <w:rPr>
          <w:rFonts w:ascii="Times New Roman" w:eastAsia="Times New Roman" w:hAnsi="Times New Roman" w:cs="Times New Roman"/>
          <w:bCs/>
          <w:iCs/>
          <w:lang w:eastAsia="hu-HU"/>
        </w:rPr>
        <w:t>az érdeklődők általában „megelégedéssel” veszik tudomásul, még a számukra esetlegesen kedvezőtlen megoldási lehetőségeket is, és tapasztalható az is, hogy „végre, valaki meghallgatott, türelmesen, szakszerűen válaszolt a problémámra”.</w:t>
      </w:r>
    </w:p>
    <w:p w:rsidR="002E75E0" w:rsidRPr="00A24CCD" w:rsidRDefault="002E75E0" w:rsidP="002E75E0">
      <w:pPr>
        <w:rPr>
          <w:rFonts w:ascii="Times New Roman" w:eastAsia="Times New Roman" w:hAnsi="Times New Roman" w:cs="Times New Roman"/>
          <w:lang w:eastAsia="hu-HU"/>
        </w:rPr>
      </w:pPr>
    </w:p>
    <w:p w:rsidR="002E75E0" w:rsidRPr="00A24CCD" w:rsidRDefault="002E75E0" w:rsidP="002E75E0">
      <w:pPr>
        <w:rPr>
          <w:rFonts w:ascii="Times New Roman" w:hAnsi="Times New Roman" w:cs="Times New Roman"/>
          <w:b/>
        </w:rPr>
      </w:pPr>
      <w:r w:rsidRPr="00A24CCD">
        <w:rPr>
          <w:rFonts w:ascii="Times New Roman" w:eastAsia="Times New Roman" w:hAnsi="Times New Roman" w:cs="Times New Roman"/>
          <w:lang w:eastAsia="hu-HU"/>
        </w:rPr>
        <w:t xml:space="preserve">Megszűnt cég esetében hogyan lehet a garanciát érvényesíteni?; problémával éppúgy jelentkeztek, mint tűzhely csere utáni garancia „megtagadás” miatt, használt gépkocsi vásárlással, internetes vétellel, távfűtés korrekciós tényezőjének megállapítási problémájával, lábbeli ügyekkel (benn olyannal is, hogy a gumicsizma beázást nem fogadták be), és mobilokkal összefüggő problémákkal. </w:t>
      </w:r>
      <w:r w:rsidR="008D4C11" w:rsidRPr="00A24CCD">
        <w:rPr>
          <w:rFonts w:ascii="Times New Roman" w:hAnsi="Times New Roman" w:cs="Times New Roman"/>
        </w:rPr>
        <w:t>Á</w:t>
      </w:r>
      <w:r w:rsidRPr="00A24CCD">
        <w:rPr>
          <w:rFonts w:ascii="Times New Roman" w:hAnsi="Times New Roman" w:cs="Times New Roman"/>
        </w:rPr>
        <w:t xml:space="preserve">rubemutatóval, a panaszos szerinti túlszámlázással, gépkocsi értékesítés utáni abból származó anomáliával, hogy a vevő nem jelentkezett az okmányirodában, </w:t>
      </w:r>
      <w:r w:rsidR="008D4C11" w:rsidRPr="00A24CCD">
        <w:rPr>
          <w:rFonts w:ascii="Times New Roman" w:hAnsi="Times New Roman" w:cs="Times New Roman"/>
        </w:rPr>
        <w:t xml:space="preserve">a levizsgázott autó minőségével. Volt aki azt tette szóvá – és kereste a megoldást -, hogy a </w:t>
      </w:r>
      <w:r w:rsidRPr="00A24CCD">
        <w:rPr>
          <w:rFonts w:ascii="Times New Roman" w:hAnsi="Times New Roman" w:cs="Times New Roman"/>
        </w:rPr>
        <w:t>kerti bútor csa</w:t>
      </w:r>
      <w:r w:rsidR="008D4C11" w:rsidRPr="00A24CCD">
        <w:rPr>
          <w:rFonts w:ascii="Times New Roman" w:hAnsi="Times New Roman" w:cs="Times New Roman"/>
        </w:rPr>
        <w:t>varhiánya miatt a vételárat kérte</w:t>
      </w:r>
      <w:r w:rsidRPr="00A24CCD">
        <w:rPr>
          <w:rFonts w:ascii="Times New Roman" w:hAnsi="Times New Roman" w:cs="Times New Roman"/>
        </w:rPr>
        <w:t xml:space="preserve"> vissza – de jelentéktelen hibára hiva</w:t>
      </w:r>
      <w:r w:rsidR="008D4C11" w:rsidRPr="00A24CCD">
        <w:rPr>
          <w:rFonts w:ascii="Times New Roman" w:hAnsi="Times New Roman" w:cs="Times New Roman"/>
        </w:rPr>
        <w:t>tkozva azt nem akart</w:t>
      </w:r>
      <w:r w:rsidRPr="00A24CCD">
        <w:rPr>
          <w:rFonts w:ascii="Times New Roman" w:hAnsi="Times New Roman" w:cs="Times New Roman"/>
        </w:rPr>
        <w:t>ák teljesíteni</w:t>
      </w:r>
      <w:r w:rsidR="008D4C11" w:rsidRPr="00A24CCD">
        <w:rPr>
          <w:rFonts w:ascii="Times New Roman" w:hAnsi="Times New Roman" w:cs="Times New Roman"/>
        </w:rPr>
        <w:t>.  U</w:t>
      </w:r>
      <w:r w:rsidRPr="00A24CCD">
        <w:rPr>
          <w:rFonts w:ascii="Times New Roman" w:hAnsi="Times New Roman" w:cs="Times New Roman"/>
        </w:rPr>
        <w:t xml:space="preserve">tazási kellemetlenségekért való helytállásról érdeklődtek, </w:t>
      </w:r>
      <w:r w:rsidR="008D4C11" w:rsidRPr="00A24CCD">
        <w:rPr>
          <w:rFonts w:ascii="Times New Roman" w:hAnsi="Times New Roman" w:cs="Times New Roman"/>
        </w:rPr>
        <w:t>de volt olyan is, aki a víz túlnyomása miatt</w:t>
      </w:r>
      <w:r w:rsidRPr="00A24CCD">
        <w:rPr>
          <w:rFonts w:ascii="Times New Roman" w:hAnsi="Times New Roman" w:cs="Times New Roman"/>
        </w:rPr>
        <w:t xml:space="preserve"> tönkrement berendezé</w:t>
      </w:r>
      <w:r w:rsidR="008D4C11" w:rsidRPr="00A24CCD">
        <w:rPr>
          <w:rFonts w:ascii="Times New Roman" w:hAnsi="Times New Roman" w:cs="Times New Roman"/>
        </w:rPr>
        <w:t>seinek kártérítési lehetőségét firtatta. A</w:t>
      </w:r>
      <w:r w:rsidRPr="00A24CCD">
        <w:rPr>
          <w:rFonts w:ascii="Times New Roman" w:hAnsi="Times New Roman" w:cs="Times New Roman"/>
        </w:rPr>
        <w:t xml:space="preserve"> telefonkönyvben való megjelenés</w:t>
      </w:r>
      <w:r w:rsidR="008D4C11" w:rsidRPr="00A24CCD">
        <w:rPr>
          <w:rFonts w:ascii="Times New Roman" w:hAnsi="Times New Roman" w:cs="Times New Roman"/>
        </w:rPr>
        <w:t>sel kapcsolatosan is volt több megkeresés</w:t>
      </w:r>
      <w:r w:rsidRPr="00A24CCD">
        <w:rPr>
          <w:rFonts w:ascii="Times New Roman" w:hAnsi="Times New Roman" w:cs="Times New Roman"/>
        </w:rPr>
        <w:t xml:space="preserve"> – </w:t>
      </w:r>
      <w:r w:rsidR="008D4C11" w:rsidRPr="00A24CCD">
        <w:rPr>
          <w:rFonts w:ascii="Times New Roman" w:hAnsi="Times New Roman" w:cs="Times New Roman"/>
        </w:rPr>
        <w:t xml:space="preserve">az állítólagos megrendelést követő </w:t>
      </w:r>
      <w:r w:rsidRPr="00A24CCD">
        <w:rPr>
          <w:rFonts w:ascii="Times New Roman" w:hAnsi="Times New Roman" w:cs="Times New Roman"/>
        </w:rPr>
        <w:t xml:space="preserve">számla kiegyenlítése ügyében. </w:t>
      </w:r>
      <w:r w:rsidR="008D4C11" w:rsidRPr="00A24CCD">
        <w:rPr>
          <w:rFonts w:ascii="Times New Roman" w:hAnsi="Times New Roman" w:cs="Times New Roman"/>
        </w:rPr>
        <w:t xml:space="preserve">A Gazdasági versenyhivatal ügyfélszolgálatával is konzultáltunk ez ügyben, és engedélyükkel közzétettük az e témába vágó tájékoztatásukat (Számla). </w:t>
      </w:r>
      <w:r w:rsidRPr="00A24CCD">
        <w:rPr>
          <w:rFonts w:ascii="Times New Roman" w:hAnsi="Times New Roman" w:cs="Times New Roman"/>
        </w:rPr>
        <w:t xml:space="preserve">A vásárlók könyvéből a vásárló kitépte a lapot – mi a teendője a vállalkozásnak, </w:t>
      </w:r>
      <w:r w:rsidR="008D4C11" w:rsidRPr="00A24CCD">
        <w:rPr>
          <w:rFonts w:ascii="Times New Roman" w:hAnsi="Times New Roman" w:cs="Times New Roman"/>
        </w:rPr>
        <w:t xml:space="preserve">kérdezte egy üzletvezető. A </w:t>
      </w:r>
      <w:r w:rsidRPr="00A24CCD">
        <w:rPr>
          <w:rFonts w:ascii="Times New Roman" w:hAnsi="Times New Roman" w:cs="Times New Roman"/>
        </w:rPr>
        <w:t>helyi adóval kapcsolatosan éppúgy keresték a testületet, mint bankokkal szembeni fellépés lehetőségéről érdeklődve</w:t>
      </w:r>
      <w:r w:rsidR="008D4C11" w:rsidRPr="00A24CCD">
        <w:rPr>
          <w:rFonts w:ascii="Times New Roman" w:hAnsi="Times New Roman" w:cs="Times New Roman"/>
        </w:rPr>
        <w:t xml:space="preserve">. Változatlanul téma a hőmennyiség-mérés, a hulladékszállítás kötelező volta, a termékbemutatókon tanúsított magatartás is. </w:t>
      </w:r>
    </w:p>
    <w:p w:rsidR="002E75E0" w:rsidRPr="00A24CCD" w:rsidRDefault="002E75E0" w:rsidP="002E75E0">
      <w:pPr>
        <w:rPr>
          <w:rFonts w:ascii="Times New Roman" w:eastAsia="Times New Roman" w:hAnsi="Times New Roman" w:cs="Times New Roman"/>
          <w:lang w:eastAsia="hu-HU"/>
        </w:rPr>
      </w:pPr>
    </w:p>
    <w:p w:rsidR="002E75E0" w:rsidRPr="00A24CCD" w:rsidRDefault="008D4C11" w:rsidP="002E75E0">
      <w:pPr>
        <w:rPr>
          <w:rFonts w:ascii="Times New Roman" w:eastAsia="Times New Roman" w:hAnsi="Times New Roman" w:cs="Times New Roman"/>
          <w:lang w:eastAsia="hu-HU"/>
        </w:rPr>
      </w:pPr>
      <w:r w:rsidRPr="00A24CCD">
        <w:rPr>
          <w:rFonts w:ascii="Times New Roman" w:eastAsia="Times New Roman" w:hAnsi="Times New Roman" w:cs="Times New Roman"/>
          <w:lang w:eastAsia="hu-HU"/>
        </w:rPr>
        <w:t>Vállalkozástól n</w:t>
      </w:r>
      <w:r w:rsidR="002E75E0" w:rsidRPr="00A24CCD">
        <w:rPr>
          <w:rFonts w:ascii="Times New Roman" w:eastAsia="Times New Roman" w:hAnsi="Times New Roman" w:cs="Times New Roman"/>
          <w:lang w:eastAsia="hu-HU"/>
        </w:rPr>
        <w:t>agy értékű munkagép garanciális problémáit osztotta meg az egyik kérdező; egy ruházati boltból az volt a kérdés, hogy milyen módon kell nekik „garanciát” vállalni a termék minőségére; volt akit – szerinte – meg nem rendelt hirdetés díjának megfizetésével „zaklatták”; és volt</w:t>
      </w:r>
      <w:r w:rsidR="00920ADB" w:rsidRPr="00A24CCD">
        <w:rPr>
          <w:rFonts w:ascii="Times New Roman" w:eastAsia="Times New Roman" w:hAnsi="Times New Roman" w:cs="Times New Roman"/>
          <w:lang w:eastAsia="hu-HU"/>
        </w:rPr>
        <w:t>,</w:t>
      </w:r>
      <w:r w:rsidR="002E75E0" w:rsidRPr="00A24CCD">
        <w:rPr>
          <w:rFonts w:ascii="Times New Roman" w:eastAsia="Times New Roman" w:hAnsi="Times New Roman" w:cs="Times New Roman"/>
          <w:lang w:eastAsia="hu-HU"/>
        </w:rPr>
        <w:t xml:space="preserve"> akinek az ÁFÁ-t nem akarja kifizetni a megrendelő, pedig az árajánlatot elfogadta, és abban szerepelt ez is. Egy TÁMOP-os pályázaton nem nyertek, milyen jogorvoslat lehetséges, ha ennek oka feltehetően az, hogy a projektmenedzser személyét nem fogadták el, és csak a „fellebbezés” után fogadták be a pályázatot – de addigra elfogyott a pályázatra biztosított pénz.</w:t>
      </w:r>
    </w:p>
    <w:p w:rsidR="00105EA7" w:rsidRDefault="00105EA7" w:rsidP="00105EA7">
      <w:pPr>
        <w:rPr>
          <w:rFonts w:ascii="Times New Roman" w:hAnsi="Times New Roman" w:cs="Times New Roman"/>
          <w:bCs/>
          <w:iCs/>
        </w:rPr>
      </w:pPr>
    </w:p>
    <w:p w:rsidR="008D4C11" w:rsidRDefault="008D4C11" w:rsidP="00105EA7">
      <w:pPr>
        <w:rPr>
          <w:rFonts w:ascii="Times New Roman" w:hAnsi="Times New Roman" w:cs="Times New Roman"/>
          <w:b/>
          <w:bCs/>
          <w:iCs/>
        </w:rPr>
      </w:pPr>
      <w:r>
        <w:rPr>
          <w:rFonts w:ascii="Times New Roman" w:hAnsi="Times New Roman" w:cs="Times New Roman"/>
          <w:b/>
          <w:bCs/>
          <w:iCs/>
        </w:rPr>
        <w:t xml:space="preserve">10.2. A testület nem tagja a hálózatnak. </w:t>
      </w:r>
    </w:p>
    <w:p w:rsidR="006A6D9F" w:rsidRDefault="006A6D9F" w:rsidP="00105EA7">
      <w:pPr>
        <w:rPr>
          <w:rFonts w:ascii="Times New Roman" w:hAnsi="Times New Roman" w:cs="Times New Roman"/>
          <w:b/>
          <w:bCs/>
          <w:iCs/>
        </w:rPr>
      </w:pPr>
    </w:p>
    <w:p w:rsidR="004540B1" w:rsidRPr="00A24CCD" w:rsidRDefault="008D4C11" w:rsidP="00105EA7">
      <w:pPr>
        <w:rPr>
          <w:rFonts w:ascii="Times New Roman" w:hAnsi="Times New Roman" w:cs="Times New Roman"/>
        </w:rPr>
      </w:pPr>
      <w:r w:rsidRPr="00A24CCD">
        <w:rPr>
          <w:rFonts w:ascii="Times New Roman" w:hAnsi="Times New Roman" w:cs="Times New Roman"/>
          <w:bCs/>
          <w:iCs/>
        </w:rPr>
        <w:t xml:space="preserve">Amennyiben határon átnyúló ügyben keresik meg a testületet, javasoljuk a hozzánk fordulónak, hogy keresse meg </w:t>
      </w:r>
      <w:r w:rsidR="00AC7DBD" w:rsidRPr="00A24CCD">
        <w:rPr>
          <w:rFonts w:ascii="Times New Roman" w:hAnsi="Times New Roman" w:cs="Times New Roman"/>
        </w:rPr>
        <w:t>a fogyasztók részére külföldi vállalkozással szembeni határon átnyúló fogyasztói panaszaik és jogvitáik rendezéséhez</w:t>
      </w:r>
      <w:r w:rsidR="00AC7DBD" w:rsidRPr="00A24CCD">
        <w:rPr>
          <w:rFonts w:ascii="Times New Roman" w:hAnsi="Times New Roman" w:cs="Times New Roman"/>
          <w:bCs/>
          <w:iCs/>
        </w:rPr>
        <w:t xml:space="preserve"> ugyancsak</w:t>
      </w:r>
      <w:r w:rsidRPr="00A24CCD">
        <w:rPr>
          <w:rFonts w:ascii="Times New Roman" w:hAnsi="Times New Roman" w:cs="Times New Roman"/>
          <w:bCs/>
          <w:iCs/>
        </w:rPr>
        <w:t xml:space="preserve"> </w:t>
      </w:r>
      <w:r w:rsidR="00AC7DBD" w:rsidRPr="00A24CCD">
        <w:rPr>
          <w:rFonts w:ascii="Times New Roman" w:hAnsi="Times New Roman" w:cs="Times New Roman"/>
        </w:rPr>
        <w:t>ingyenes segítséget nyújtó Európai Fogyasztási Központot</w:t>
      </w:r>
      <w:r w:rsidR="004540B1" w:rsidRPr="00A24CCD">
        <w:rPr>
          <w:rFonts w:ascii="Times New Roman" w:hAnsi="Times New Roman" w:cs="Times New Roman"/>
        </w:rPr>
        <w:t>. 2016-ban a honlapon közzétettük a Budapesti Békéltető Testület tájékoztatóját is az induló uniós békéltető honlapról.</w:t>
      </w:r>
    </w:p>
    <w:p w:rsidR="00E32221" w:rsidRPr="004D3770" w:rsidRDefault="00E32221" w:rsidP="00105EA7">
      <w:pPr>
        <w:rPr>
          <w:rFonts w:ascii="Times New Roman" w:hAnsi="Times New Roman" w:cs="Times New Roman"/>
          <w:bCs/>
          <w:iCs/>
          <w:sz w:val="28"/>
          <w:szCs w:val="28"/>
        </w:rPr>
      </w:pPr>
    </w:p>
    <w:p w:rsidR="0038131C" w:rsidRDefault="004D3770" w:rsidP="00920ADB">
      <w:pPr>
        <w:rPr>
          <w:rFonts w:ascii="Times New Roman" w:eastAsia="Times New Roman" w:hAnsi="Times New Roman" w:cs="Times New Roman"/>
          <w:b/>
          <w:bCs/>
          <w:i/>
          <w:iCs/>
          <w:sz w:val="28"/>
          <w:szCs w:val="28"/>
          <w:u w:val="single"/>
          <w:lang w:eastAsia="hu-HU"/>
        </w:rPr>
      </w:pPr>
      <w:r w:rsidRPr="006A6D9F">
        <w:rPr>
          <w:rFonts w:ascii="Times New Roman" w:hAnsi="Times New Roman" w:cs="Times New Roman"/>
          <w:b/>
          <w:bCs/>
          <w:i/>
          <w:iCs/>
          <w:sz w:val="28"/>
          <w:szCs w:val="28"/>
          <w:u w:val="single"/>
        </w:rPr>
        <w:t>11</w:t>
      </w:r>
      <w:r w:rsidR="00105EA7" w:rsidRPr="006A6D9F">
        <w:rPr>
          <w:rFonts w:ascii="Times New Roman" w:hAnsi="Times New Roman" w:cs="Times New Roman"/>
          <w:b/>
          <w:bCs/>
          <w:i/>
          <w:iCs/>
          <w:sz w:val="28"/>
          <w:szCs w:val="28"/>
          <w:u w:val="single"/>
        </w:rPr>
        <w:t xml:space="preserve">. </w:t>
      </w:r>
      <w:r w:rsidR="0038131C" w:rsidRPr="0038131C">
        <w:rPr>
          <w:rFonts w:ascii="Times New Roman" w:eastAsia="Times New Roman" w:hAnsi="Times New Roman" w:cs="Times New Roman"/>
          <w:b/>
          <w:bCs/>
          <w:i/>
          <w:iCs/>
          <w:sz w:val="28"/>
          <w:szCs w:val="28"/>
          <w:u w:val="single"/>
          <w:lang w:eastAsia="hu-HU"/>
        </w:rPr>
        <w:t>Ismertesse az OVR rendelet által létrehozott online platform működésének gyakorlatát és a tapasztalatokat.</w:t>
      </w:r>
    </w:p>
    <w:p w:rsidR="0038131C" w:rsidRDefault="0038131C" w:rsidP="0038131C">
      <w:pPr>
        <w:rPr>
          <w:rFonts w:ascii="Times New Roman" w:eastAsia="Times New Roman" w:hAnsi="Times New Roman" w:cs="Times New Roman"/>
          <w:bCs/>
          <w:iCs/>
          <w:sz w:val="28"/>
          <w:szCs w:val="28"/>
          <w:lang w:eastAsia="hu-HU"/>
        </w:rPr>
      </w:pPr>
    </w:p>
    <w:p w:rsidR="0038131C" w:rsidRDefault="0038131C" w:rsidP="0038131C">
      <w:pPr>
        <w:rPr>
          <w:rFonts w:ascii="Times New Roman" w:eastAsia="Times New Roman" w:hAnsi="Times New Roman" w:cs="Times New Roman"/>
          <w:bCs/>
          <w:iCs/>
          <w:lang w:eastAsia="hu-HU"/>
        </w:rPr>
      </w:pPr>
      <w:r>
        <w:rPr>
          <w:rFonts w:ascii="Times New Roman" w:eastAsia="Times New Roman" w:hAnsi="Times New Roman" w:cs="Times New Roman"/>
          <w:bCs/>
          <w:iCs/>
          <w:lang w:eastAsia="hu-HU"/>
        </w:rPr>
        <w:t>Válaszunk nemleges.</w:t>
      </w:r>
    </w:p>
    <w:p w:rsidR="00A24CCD" w:rsidRPr="0038131C" w:rsidRDefault="00A24CCD" w:rsidP="0038131C">
      <w:pPr>
        <w:rPr>
          <w:rFonts w:ascii="Times New Roman" w:eastAsia="Times New Roman" w:hAnsi="Times New Roman" w:cs="Times New Roman"/>
          <w:bCs/>
          <w:iCs/>
          <w:lang w:eastAsia="hu-HU"/>
        </w:rPr>
      </w:pPr>
    </w:p>
    <w:p w:rsidR="00105EA7" w:rsidRPr="006A6D9F" w:rsidRDefault="0038131C" w:rsidP="00920ADB">
      <w:pPr>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 xml:space="preserve">12. </w:t>
      </w:r>
      <w:r w:rsidR="00105EA7" w:rsidRPr="006A6D9F">
        <w:rPr>
          <w:rFonts w:ascii="Times New Roman" w:hAnsi="Times New Roman" w:cs="Times New Roman"/>
          <w:b/>
          <w:bCs/>
          <w:i/>
          <w:iCs/>
          <w:sz w:val="28"/>
          <w:szCs w:val="28"/>
          <w:u w:val="single"/>
        </w:rPr>
        <w:t>Mutassa be média és PR megjelenéseit (TV, rádió, online, nyomtatott sajtó).</w:t>
      </w:r>
    </w:p>
    <w:p w:rsidR="00105EA7" w:rsidRDefault="00105EA7" w:rsidP="00105EA7">
      <w:pPr>
        <w:rPr>
          <w:rFonts w:ascii="Times New Roman" w:hAnsi="Times New Roman" w:cs="Times New Roman"/>
          <w:bCs/>
          <w:iCs/>
        </w:rPr>
      </w:pPr>
    </w:p>
    <w:p w:rsidR="005A3EEC" w:rsidRPr="00A24CCD" w:rsidRDefault="005A3EEC" w:rsidP="00105EA7">
      <w:pPr>
        <w:rPr>
          <w:rFonts w:ascii="Times New Roman" w:hAnsi="Times New Roman" w:cs="Times New Roman"/>
          <w:bCs/>
          <w:iCs/>
        </w:rPr>
      </w:pPr>
      <w:r w:rsidRPr="00A24CCD">
        <w:rPr>
          <w:rFonts w:ascii="Times New Roman" w:hAnsi="Times New Roman" w:cs="Times New Roman"/>
          <w:bCs/>
          <w:iCs/>
        </w:rPr>
        <w:t>Az elmúlt évben is rendszeresen publikáltunk a megyei napilapban (NAPLÓ). A „Békéltető sarok” elnevezésű rovatban jelentettük meg azokat az írásainkat, amelyek a jogszabályváltozásokra, az eljárások tapasztalataira hívták fel a figyelmet. Mivel nem mindenkihez jut el a Napló újság, ezért a honlapon is hozzáférhetőek ezek az írások.</w:t>
      </w:r>
    </w:p>
    <w:p w:rsidR="009240EC" w:rsidRPr="00A24CCD" w:rsidRDefault="009240EC" w:rsidP="00105EA7">
      <w:pPr>
        <w:rPr>
          <w:rFonts w:ascii="Times New Roman" w:hAnsi="Times New Roman" w:cs="Times New Roman"/>
          <w:bCs/>
          <w:iCs/>
        </w:rPr>
      </w:pPr>
    </w:p>
    <w:p w:rsidR="009240EC" w:rsidRPr="00A24CCD" w:rsidRDefault="009240EC" w:rsidP="009240EC">
      <w:pPr>
        <w:rPr>
          <w:rFonts w:ascii="Times New Roman" w:eastAsia="Times New Roman" w:hAnsi="Times New Roman" w:cs="Times New Roman"/>
          <w:bCs/>
          <w:iCs/>
          <w:lang w:eastAsia="hu-HU"/>
        </w:rPr>
      </w:pPr>
      <w:r w:rsidRPr="00A24CCD">
        <w:rPr>
          <w:rFonts w:ascii="Times New Roman" w:eastAsia="Times New Roman" w:hAnsi="Times New Roman" w:cs="Times New Roman"/>
          <w:bCs/>
          <w:iCs/>
          <w:lang w:eastAsia="hu-HU"/>
        </w:rPr>
        <w:t xml:space="preserve">A cikkekről, és egyéb megjelenésekről: </w:t>
      </w:r>
    </w:p>
    <w:p w:rsidR="009240EC" w:rsidRPr="00A24CCD" w:rsidRDefault="009240EC" w:rsidP="009240EC">
      <w:pPr>
        <w:rPr>
          <w:rFonts w:ascii="Times New Roman" w:eastAsia="Times New Roman" w:hAnsi="Times New Roman" w:cs="Times New Roman"/>
          <w:bCs/>
          <w:iCs/>
          <w:lang w:eastAsia="hu-HU"/>
        </w:rPr>
      </w:pPr>
    </w:p>
    <w:p w:rsidR="009240EC" w:rsidRPr="00A24CCD" w:rsidRDefault="009240EC" w:rsidP="009240EC">
      <w:pPr>
        <w:rPr>
          <w:rFonts w:ascii="Times New Roman" w:eastAsia="Times New Roman" w:hAnsi="Times New Roman" w:cs="Times New Roman"/>
          <w:bCs/>
          <w:iCs/>
          <w:lang w:eastAsia="hu-HU"/>
        </w:rPr>
      </w:pPr>
      <w:r w:rsidRPr="00A24CCD">
        <w:rPr>
          <w:rFonts w:ascii="Times New Roman" w:eastAsia="Times New Roman" w:hAnsi="Times New Roman" w:cs="Times New Roman"/>
          <w:bCs/>
          <w:iCs/>
          <w:lang w:eastAsia="hu-HU"/>
        </w:rPr>
        <w:t>A nyár folyamán tett helyettes államtitkári látogatásról is széles körben számoltak be a médiumok:</w:t>
      </w:r>
    </w:p>
    <w:p w:rsidR="009240EC" w:rsidRPr="00A24CCD" w:rsidRDefault="0064396F" w:rsidP="009240EC">
      <w:pPr>
        <w:rPr>
          <w:rFonts w:ascii="Times New Roman" w:eastAsia="Times New Roman" w:hAnsi="Times New Roman" w:cs="Times New Roman"/>
          <w:bCs/>
          <w:iCs/>
          <w:lang w:eastAsia="hu-HU"/>
        </w:rPr>
      </w:pPr>
      <w:hyperlink r:id="rId9" w:tgtFrame="_blank" w:history="1">
        <w:r w:rsidR="009240EC" w:rsidRPr="00A24CCD">
          <w:rPr>
            <w:rStyle w:val="Hiperhivatkozs"/>
            <w:rFonts w:ascii="Times New Roman" w:eastAsia="Times New Roman" w:hAnsi="Times New Roman" w:cs="Times New Roman"/>
            <w:bCs/>
            <w:iCs/>
            <w:color w:val="auto"/>
            <w:u w:val="none"/>
            <w:lang w:eastAsia="hu-HU"/>
          </w:rPr>
          <w:t>https://picasaweb.google.com/veszpremikamara/BekeltetoTestuletSajtotajekoztatoVeszprem</w:t>
        </w:r>
      </w:hyperlink>
    </w:p>
    <w:p w:rsidR="009240EC" w:rsidRPr="00A24CCD" w:rsidRDefault="0064396F" w:rsidP="009240EC">
      <w:pPr>
        <w:rPr>
          <w:rFonts w:ascii="Times New Roman" w:eastAsia="Times New Roman" w:hAnsi="Times New Roman" w:cs="Times New Roman"/>
          <w:bCs/>
          <w:iCs/>
          <w:lang w:eastAsia="hu-HU"/>
        </w:rPr>
      </w:pPr>
      <w:hyperlink r:id="rId10" w:tgtFrame="_blank" w:history="1">
        <w:r w:rsidR="009240EC" w:rsidRPr="00A24CCD">
          <w:rPr>
            <w:rStyle w:val="Hiperhivatkozs"/>
            <w:rFonts w:ascii="Times New Roman" w:eastAsia="Times New Roman" w:hAnsi="Times New Roman" w:cs="Times New Roman"/>
            <w:bCs/>
            <w:iCs/>
            <w:color w:val="auto"/>
            <w:u w:val="none"/>
            <w:lang w:eastAsia="hu-HU"/>
          </w:rPr>
          <w:t>http://members.upc.hu/veszpremmegyeikereskedelmies.iparkamara/Keszthenyi_N_fotok.zip</w:t>
        </w:r>
      </w:hyperlink>
      <w:r w:rsidR="009240EC" w:rsidRPr="00A24CCD">
        <w:rPr>
          <w:rFonts w:ascii="Times New Roman" w:eastAsia="Times New Roman" w:hAnsi="Times New Roman" w:cs="Times New Roman"/>
          <w:bCs/>
          <w:iCs/>
          <w:lang w:eastAsia="hu-HU"/>
        </w:rPr>
        <w:t> </w:t>
      </w:r>
    </w:p>
    <w:p w:rsidR="009240EC" w:rsidRPr="00A24CCD" w:rsidRDefault="0064396F" w:rsidP="009240EC">
      <w:pPr>
        <w:rPr>
          <w:rFonts w:ascii="Times New Roman" w:eastAsia="Times New Roman" w:hAnsi="Times New Roman" w:cs="Times New Roman"/>
          <w:bCs/>
          <w:iCs/>
          <w:lang w:eastAsia="hu-HU"/>
        </w:rPr>
      </w:pPr>
      <w:hyperlink r:id="rId11" w:tgtFrame="_blank" w:history="1">
        <w:r w:rsidR="009240EC" w:rsidRPr="00A24CCD">
          <w:rPr>
            <w:rStyle w:val="Hiperhivatkozs"/>
            <w:rFonts w:ascii="Times New Roman" w:eastAsia="Times New Roman" w:hAnsi="Times New Roman" w:cs="Times New Roman"/>
            <w:bCs/>
            <w:iCs/>
            <w:color w:val="auto"/>
            <w:u w:val="none"/>
            <w:lang w:eastAsia="hu-HU"/>
          </w:rPr>
          <w:t>http://www.veszport.hu/tartalom/cikk/veszprem_megyei_bekelteto_testulet_koszorus_laszlo</w:t>
        </w:r>
      </w:hyperlink>
    </w:p>
    <w:p w:rsidR="009240EC" w:rsidRPr="00A24CCD" w:rsidRDefault="0064396F" w:rsidP="009240EC">
      <w:pPr>
        <w:rPr>
          <w:rFonts w:ascii="Times New Roman" w:eastAsia="Times New Roman" w:hAnsi="Times New Roman" w:cs="Times New Roman"/>
          <w:bCs/>
          <w:iCs/>
          <w:lang w:eastAsia="hu-HU"/>
        </w:rPr>
      </w:pPr>
      <w:hyperlink r:id="rId12" w:tgtFrame="_blank" w:history="1">
        <w:r w:rsidR="009240EC" w:rsidRPr="00A24CCD">
          <w:rPr>
            <w:rStyle w:val="Hiperhivatkozs"/>
            <w:rFonts w:ascii="Times New Roman" w:eastAsia="Times New Roman" w:hAnsi="Times New Roman" w:cs="Times New Roman"/>
            <w:bCs/>
            <w:iCs/>
            <w:color w:val="auto"/>
            <w:u w:val="none"/>
            <w:lang w:eastAsia="hu-HU"/>
          </w:rPr>
          <w:t>http://www.veszpremtv.hu/hir/allamtitkar_helyettesi_latogatas-n6457.html</w:t>
        </w:r>
      </w:hyperlink>
    </w:p>
    <w:p w:rsidR="009240EC" w:rsidRPr="00A24CCD" w:rsidRDefault="0064396F" w:rsidP="009240EC">
      <w:pPr>
        <w:rPr>
          <w:rFonts w:ascii="Times New Roman" w:eastAsia="Times New Roman" w:hAnsi="Times New Roman" w:cs="Times New Roman"/>
          <w:bCs/>
          <w:iCs/>
          <w:lang w:eastAsia="hu-HU"/>
        </w:rPr>
      </w:pPr>
      <w:hyperlink r:id="rId13" w:tgtFrame="_blank" w:history="1">
        <w:r w:rsidR="009240EC" w:rsidRPr="00A24CCD">
          <w:rPr>
            <w:rStyle w:val="Hiperhivatkozs"/>
            <w:rFonts w:ascii="Times New Roman" w:eastAsia="Times New Roman" w:hAnsi="Times New Roman" w:cs="Times New Roman"/>
            <w:bCs/>
            <w:iCs/>
            <w:color w:val="auto"/>
            <w:u w:val="none"/>
            <w:lang w:eastAsia="hu-HU"/>
          </w:rPr>
          <w:t>https://veol.hu/veszprem/nem-inzultalnak-vallalkozasbarat-fogyasztovedelem-1711869</w:t>
        </w:r>
      </w:hyperlink>
    </w:p>
    <w:p w:rsidR="009240EC" w:rsidRPr="00A24CCD" w:rsidRDefault="0064396F" w:rsidP="009240EC">
      <w:pPr>
        <w:rPr>
          <w:rFonts w:ascii="Times New Roman" w:eastAsia="Times New Roman" w:hAnsi="Times New Roman" w:cs="Times New Roman"/>
          <w:bCs/>
          <w:iCs/>
          <w:lang w:eastAsia="hu-HU"/>
        </w:rPr>
      </w:pPr>
      <w:hyperlink r:id="rId14" w:tgtFrame="_blank" w:history="1">
        <w:r w:rsidR="009240EC" w:rsidRPr="00A24CCD">
          <w:rPr>
            <w:rStyle w:val="Hiperhivatkozs"/>
            <w:rFonts w:ascii="Times New Roman" w:eastAsia="Times New Roman" w:hAnsi="Times New Roman" w:cs="Times New Roman"/>
            <w:bCs/>
            <w:iCs/>
            <w:color w:val="auto"/>
            <w:u w:val="none"/>
            <w:lang w:eastAsia="hu-HU"/>
          </w:rPr>
          <w:t>http://www.vehir.hu/cikk/30802-a-birosagok-munkajat-konnyiti-a-bekelteto-testulet</w:t>
        </w:r>
      </w:hyperlink>
    </w:p>
    <w:p w:rsidR="005A3EEC" w:rsidRPr="00105EA7" w:rsidRDefault="005A3EEC" w:rsidP="00105EA7">
      <w:pPr>
        <w:rPr>
          <w:rFonts w:ascii="Times New Roman" w:hAnsi="Times New Roman" w:cs="Times New Roman"/>
          <w:bCs/>
          <w:iCs/>
        </w:rPr>
      </w:pPr>
    </w:p>
    <w:p w:rsidR="00105EA7" w:rsidRPr="006A6D9F" w:rsidRDefault="0038131C" w:rsidP="00920ADB">
      <w:pPr>
        <w:jc w:val="left"/>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13</w:t>
      </w:r>
      <w:r w:rsidR="00105EA7" w:rsidRPr="006A6D9F">
        <w:rPr>
          <w:rFonts w:ascii="Times New Roman" w:hAnsi="Times New Roman" w:cs="Times New Roman"/>
          <w:b/>
          <w:bCs/>
          <w:i/>
          <w:iCs/>
          <w:sz w:val="28"/>
          <w:szCs w:val="28"/>
          <w:u w:val="single"/>
        </w:rPr>
        <w:t>. Ismertesse a békéltető testület által létrehozott honlap látogatottsági adatait, a Fogyasztók visszajelzését a honlappal kapcsolatban.</w:t>
      </w:r>
    </w:p>
    <w:p w:rsidR="00105EA7" w:rsidRDefault="00105EA7" w:rsidP="00105EA7">
      <w:pPr>
        <w:rPr>
          <w:rFonts w:ascii="Times New Roman" w:hAnsi="Times New Roman" w:cs="Times New Roman"/>
          <w:bCs/>
          <w:iCs/>
        </w:rPr>
      </w:pPr>
    </w:p>
    <w:p w:rsidR="0038131C" w:rsidRPr="0038131C" w:rsidRDefault="005A3EEC" w:rsidP="00105EA7">
      <w:pPr>
        <w:rPr>
          <w:rFonts w:ascii="Times New Roman" w:hAnsi="Times New Roman" w:cs="Times New Roman"/>
          <w:bCs/>
          <w:iCs/>
        </w:rPr>
      </w:pPr>
      <w:r w:rsidRPr="0038131C">
        <w:rPr>
          <w:rFonts w:ascii="Times New Roman" w:hAnsi="Times New Roman" w:cs="Times New Roman"/>
          <w:bCs/>
          <w:iCs/>
        </w:rPr>
        <w:t xml:space="preserve">A testület által létrehozott honlap nem </w:t>
      </w:r>
      <w:r w:rsidR="0038131C" w:rsidRPr="0038131C">
        <w:rPr>
          <w:rFonts w:ascii="Times New Roman" w:hAnsi="Times New Roman" w:cs="Times New Roman"/>
          <w:bCs/>
          <w:iCs/>
        </w:rPr>
        <w:t>tudja mindenben biztosítani az előírtakat.</w:t>
      </w:r>
    </w:p>
    <w:p w:rsidR="0038131C" w:rsidRDefault="0038131C" w:rsidP="0038131C">
      <w:pPr>
        <w:autoSpaceDE w:val="0"/>
        <w:autoSpaceDN w:val="0"/>
        <w:adjustRightInd w:val="0"/>
        <w:rPr>
          <w:rFonts w:ascii="Times New Roman" w:hAnsi="Times New Roman" w:cs="Times New Roman"/>
        </w:rPr>
      </w:pPr>
      <w:r>
        <w:rPr>
          <w:rFonts w:ascii="Times New Roman" w:hAnsi="Times New Roman" w:cs="Times New Roman"/>
        </w:rPr>
        <w:t xml:space="preserve">A honlap tartalmazza a békéltetésre vonatkozó legfontosabb szabályokat, a megyei testület külön eljárási szabályzatával együtt. </w:t>
      </w:r>
    </w:p>
    <w:p w:rsidR="0038131C" w:rsidRDefault="0038131C" w:rsidP="0038131C">
      <w:pPr>
        <w:autoSpaceDE w:val="0"/>
        <w:autoSpaceDN w:val="0"/>
        <w:adjustRightInd w:val="0"/>
        <w:rPr>
          <w:rFonts w:ascii="Times New Roman" w:hAnsi="Times New Roman" w:cs="Times New Roman"/>
        </w:rPr>
      </w:pPr>
      <w:r>
        <w:rPr>
          <w:rFonts w:ascii="Times New Roman" w:hAnsi="Times New Roman" w:cs="Times New Roman"/>
          <w:i/>
          <w:iCs/>
        </w:rPr>
        <w:t xml:space="preserve">Hozzáférhetők </w:t>
      </w:r>
      <w:r w:rsidRPr="0038131C">
        <w:rPr>
          <w:rFonts w:ascii="Times New Roman" w:hAnsi="Times New Roman" w:cs="Times New Roman"/>
        </w:rPr>
        <w:t xml:space="preserve">a </w:t>
      </w:r>
      <w:r>
        <w:rPr>
          <w:rFonts w:ascii="Times New Roman" w:hAnsi="Times New Roman" w:cs="Times New Roman"/>
        </w:rPr>
        <w:t>testület elérhetőségei (székhelyének megközelíthetősége is, postacíme, e-mail címe, telefonszáma, valamint faxszáma);</w:t>
      </w:r>
      <w:r w:rsidRPr="0038131C">
        <w:rPr>
          <w:rFonts w:ascii="Times New Roman" w:hAnsi="Times New Roman" w:cs="Times New Roman"/>
        </w:rPr>
        <w:t xml:space="preserve"> </w:t>
      </w:r>
      <w:r w:rsidRPr="0038131C">
        <w:rPr>
          <w:rFonts w:ascii="Times New Roman" w:hAnsi="Times New Roman" w:cs="Times New Roman"/>
          <w:i/>
        </w:rPr>
        <w:t xml:space="preserve">tartalmazza </w:t>
      </w:r>
      <w:r w:rsidRPr="0038131C">
        <w:rPr>
          <w:rFonts w:ascii="Times New Roman" w:hAnsi="Times New Roman" w:cs="Times New Roman"/>
        </w:rPr>
        <w:t>a békéltető testületi tagok nevét, az őket jelölő fogyasztói érdekek képviseletét ellátó egyesület vagy gazdasági kamara megnevezését, valamint megbízatásuk időtartamát, felsőfokú végzettségük oklevél szerint</w:t>
      </w:r>
      <w:r>
        <w:rPr>
          <w:rFonts w:ascii="Times New Roman" w:hAnsi="Times New Roman" w:cs="Times New Roman"/>
        </w:rPr>
        <w:t>i megnevezését, szakterületüket; olvasható</w:t>
      </w:r>
      <w:r w:rsidRPr="0038131C">
        <w:rPr>
          <w:rFonts w:ascii="Times New Roman" w:hAnsi="Times New Roman" w:cs="Times New Roman"/>
        </w:rPr>
        <w:t xml:space="preserve"> a </w:t>
      </w:r>
      <w:r w:rsidR="00817F7E">
        <w:rPr>
          <w:rFonts w:ascii="Times New Roman" w:hAnsi="Times New Roman" w:cs="Times New Roman"/>
        </w:rPr>
        <w:t xml:space="preserve">honlapon a </w:t>
      </w:r>
      <w:r w:rsidRPr="0038131C">
        <w:rPr>
          <w:rFonts w:ascii="Times New Roman" w:hAnsi="Times New Roman" w:cs="Times New Roman"/>
        </w:rPr>
        <w:t>békéltető testületi tagok függetlenségére és pártatlanságára von</w:t>
      </w:r>
      <w:r>
        <w:rPr>
          <w:rFonts w:ascii="Times New Roman" w:hAnsi="Times New Roman" w:cs="Times New Roman"/>
        </w:rPr>
        <w:t>atkozó törvényes követelmények</w:t>
      </w:r>
      <w:r w:rsidR="00817F7E">
        <w:rPr>
          <w:rFonts w:ascii="Times New Roman" w:hAnsi="Times New Roman" w:cs="Times New Roman"/>
        </w:rPr>
        <w:t xml:space="preserve"> mellett </w:t>
      </w:r>
      <w:r w:rsidR="00817F7E" w:rsidRPr="0038131C">
        <w:rPr>
          <w:rFonts w:ascii="Times New Roman" w:hAnsi="Times New Roman" w:cs="Times New Roman"/>
        </w:rPr>
        <w:t>a békéltető testület hat</w:t>
      </w:r>
      <w:r w:rsidR="00817F7E">
        <w:rPr>
          <w:rFonts w:ascii="Times New Roman" w:hAnsi="Times New Roman" w:cs="Times New Roman"/>
        </w:rPr>
        <w:t>áskörére vonatkozó információk.</w:t>
      </w:r>
    </w:p>
    <w:p w:rsidR="00817F7E" w:rsidRDefault="00817F7E" w:rsidP="00817F7E">
      <w:pPr>
        <w:autoSpaceDE w:val="0"/>
        <w:autoSpaceDN w:val="0"/>
        <w:adjustRightInd w:val="0"/>
        <w:rPr>
          <w:rFonts w:ascii="Times New Roman" w:hAnsi="Times New Roman" w:cs="Times New Roman"/>
        </w:rPr>
      </w:pPr>
      <w:r>
        <w:rPr>
          <w:rFonts w:ascii="Times New Roman" w:hAnsi="Times New Roman" w:cs="Times New Roman"/>
          <w:i/>
          <w:iCs/>
        </w:rPr>
        <w:t xml:space="preserve">Tájékoztatást adtunk </w:t>
      </w:r>
      <w:r>
        <w:rPr>
          <w:rFonts w:ascii="Times New Roman" w:hAnsi="Times New Roman" w:cs="Times New Roman"/>
        </w:rPr>
        <w:t xml:space="preserve">az eljárás átlagos időtartamáról éppúgy, mint a </w:t>
      </w:r>
      <w:r w:rsidRPr="0038131C">
        <w:rPr>
          <w:rFonts w:ascii="Times New Roman" w:hAnsi="Times New Roman" w:cs="Times New Roman"/>
        </w:rPr>
        <w:t>meghozata</w:t>
      </w:r>
      <w:r>
        <w:rPr>
          <w:rFonts w:ascii="Times New Roman" w:hAnsi="Times New Roman" w:cs="Times New Roman"/>
        </w:rPr>
        <w:t>lra kerülő lehetséges döntésekről, azok joghatásáról, kikényszeríthetőségéről is.</w:t>
      </w:r>
    </w:p>
    <w:p w:rsidR="00817F7E" w:rsidRDefault="00817F7E" w:rsidP="00817F7E">
      <w:pPr>
        <w:autoSpaceDE w:val="0"/>
        <w:autoSpaceDN w:val="0"/>
        <w:adjustRightInd w:val="0"/>
        <w:rPr>
          <w:rFonts w:ascii="Times New Roman" w:hAnsi="Times New Roman" w:cs="Times New Roman"/>
        </w:rPr>
      </w:pPr>
      <w:r>
        <w:rPr>
          <w:rFonts w:ascii="Times New Roman" w:hAnsi="Times New Roman" w:cs="Times New Roman"/>
        </w:rPr>
        <w:t>Az féléves és éves beszámolót is tartalmazza a honlap.</w:t>
      </w:r>
    </w:p>
    <w:p w:rsidR="0038131C" w:rsidRPr="0038131C" w:rsidRDefault="00817F7E" w:rsidP="00817F7E">
      <w:pPr>
        <w:autoSpaceDE w:val="0"/>
        <w:autoSpaceDN w:val="0"/>
        <w:adjustRightInd w:val="0"/>
        <w:rPr>
          <w:rFonts w:ascii="Times New Roman" w:hAnsi="Times New Roman" w:cs="Times New Roman"/>
        </w:rPr>
      </w:pPr>
      <w:r>
        <w:rPr>
          <w:rFonts w:ascii="Times New Roman" w:hAnsi="Times New Roman" w:cs="Times New Roman"/>
        </w:rPr>
        <w:t>A</w:t>
      </w:r>
      <w:r w:rsidR="0038131C" w:rsidRPr="0038131C">
        <w:rPr>
          <w:rFonts w:ascii="Times New Roman" w:hAnsi="Times New Roman" w:cs="Times New Roman"/>
        </w:rPr>
        <w:t>nnak tényét, hogy a békéltető testületet az Európai Bizottság jegyzékében nyilvántartásba vették-e,</w:t>
      </w:r>
      <w:r>
        <w:rPr>
          <w:rFonts w:ascii="Times New Roman" w:hAnsi="Times New Roman" w:cs="Times New Roman"/>
        </w:rPr>
        <w:t xml:space="preserve"> még nem tudtuk közölni, mert erről visszajelzést nem kapott a testület.</w:t>
      </w:r>
    </w:p>
    <w:p w:rsidR="0038131C" w:rsidRPr="0038131C" w:rsidRDefault="0038131C" w:rsidP="0038131C">
      <w:pPr>
        <w:autoSpaceDE w:val="0"/>
        <w:autoSpaceDN w:val="0"/>
        <w:adjustRightInd w:val="0"/>
        <w:rPr>
          <w:rFonts w:ascii="Times New Roman" w:hAnsi="Times New Roman" w:cs="Times New Roman"/>
        </w:rPr>
      </w:pPr>
    </w:p>
    <w:p w:rsidR="0038131C" w:rsidRPr="0038131C" w:rsidRDefault="0038131C" w:rsidP="0038131C">
      <w:pPr>
        <w:autoSpaceDE w:val="0"/>
        <w:autoSpaceDN w:val="0"/>
        <w:adjustRightInd w:val="0"/>
        <w:rPr>
          <w:rFonts w:ascii="Times New Roman" w:hAnsi="Times New Roman" w:cs="Times New Roman"/>
        </w:rPr>
      </w:pPr>
      <w:r w:rsidRPr="0038131C">
        <w:rPr>
          <w:rFonts w:ascii="Times New Roman" w:hAnsi="Times New Roman" w:cs="Times New Roman"/>
        </w:rPr>
        <w:t xml:space="preserve">A békéltető testület </w:t>
      </w:r>
      <w:r w:rsidR="00817F7E">
        <w:rPr>
          <w:rFonts w:ascii="Times New Roman" w:hAnsi="Times New Roman" w:cs="Times New Roman"/>
        </w:rPr>
        <w:t>internetes honlapja még nem tudja biztosítani</w:t>
      </w:r>
      <w:r w:rsidRPr="0038131C">
        <w:rPr>
          <w:rFonts w:ascii="Times New Roman" w:hAnsi="Times New Roman" w:cs="Times New Roman"/>
        </w:rPr>
        <w:t xml:space="preserve">, hogy a fogyasztó </w:t>
      </w:r>
      <w:r w:rsidR="00817F7E">
        <w:rPr>
          <w:rFonts w:ascii="Times New Roman" w:hAnsi="Times New Roman" w:cs="Times New Roman"/>
        </w:rPr>
        <w:t xml:space="preserve">(a klasszikus értelembe vett) </w:t>
      </w:r>
      <w:r w:rsidRPr="0038131C">
        <w:rPr>
          <w:rFonts w:ascii="Times New Roman" w:hAnsi="Times New Roman" w:cs="Times New Roman"/>
        </w:rPr>
        <w:t xml:space="preserve">online úton is benyújthassa kérelmét és annak mellékleteit. </w:t>
      </w:r>
      <w:r w:rsidR="00817F7E">
        <w:rPr>
          <w:rFonts w:ascii="Times New Roman" w:hAnsi="Times New Roman" w:cs="Times New Roman"/>
        </w:rPr>
        <w:t xml:space="preserve">Ennek feltételeit megítélésünk szerint csak központilag lehetséges megteremteni, anyagi és technikai értelemben egyaránt. </w:t>
      </w:r>
    </w:p>
    <w:p w:rsidR="00817F7E" w:rsidRPr="00817F7E" w:rsidRDefault="00817F7E" w:rsidP="00105EA7">
      <w:pPr>
        <w:rPr>
          <w:rFonts w:ascii="Times New Roman" w:hAnsi="Times New Roman" w:cs="Times New Roman"/>
          <w:bCs/>
          <w:iCs/>
        </w:rPr>
      </w:pPr>
    </w:p>
    <w:p w:rsidR="00817F7E" w:rsidRPr="00817F7E" w:rsidRDefault="00817F7E" w:rsidP="00105EA7">
      <w:pPr>
        <w:rPr>
          <w:rFonts w:ascii="Times New Roman" w:hAnsi="Times New Roman" w:cs="Times New Roman"/>
          <w:bCs/>
          <w:iCs/>
        </w:rPr>
      </w:pPr>
      <w:r w:rsidRPr="00817F7E">
        <w:rPr>
          <w:rFonts w:ascii="Times New Roman" w:hAnsi="Times New Roman" w:cs="Times New Roman"/>
          <w:bCs/>
          <w:iCs/>
        </w:rPr>
        <w:t>Az lekérdezhető, hogy pl. a 2015. szeptember 11-i hatályba lépéstől számítottan 551 esetben keresték fel a honlapot, de „elégedettségi” mutatókat prezentálni nem tudunk.</w:t>
      </w:r>
    </w:p>
    <w:p w:rsidR="00817F7E" w:rsidRDefault="00817F7E" w:rsidP="00105EA7">
      <w:pPr>
        <w:rPr>
          <w:rFonts w:ascii="Times New Roman" w:hAnsi="Times New Roman" w:cs="Times New Roman"/>
          <w:bCs/>
          <w:iCs/>
          <w:sz w:val="22"/>
          <w:szCs w:val="22"/>
        </w:rPr>
      </w:pPr>
    </w:p>
    <w:p w:rsidR="005A3EEC" w:rsidRPr="00817F7E" w:rsidRDefault="005A3EEC" w:rsidP="00105EA7">
      <w:pPr>
        <w:rPr>
          <w:rFonts w:ascii="Times New Roman" w:hAnsi="Times New Roman" w:cs="Times New Roman"/>
          <w:bCs/>
          <w:iCs/>
        </w:rPr>
      </w:pPr>
      <w:r w:rsidRPr="00817F7E">
        <w:rPr>
          <w:rFonts w:ascii="Times New Roman" w:hAnsi="Times New Roman" w:cs="Times New Roman"/>
          <w:bCs/>
          <w:iCs/>
        </w:rPr>
        <w:t>Ezzel együtt is az a tapasztalatunk, hogy a Fogyasztók elolvassák az ott megjelentetett információkat, onnan töltik le az általunk javasolt nyomtatványt, amellyel a kérelem benyújtásához adunk segítséget.</w:t>
      </w:r>
    </w:p>
    <w:p w:rsidR="005A3EEC" w:rsidRDefault="005A3EEC" w:rsidP="00105EA7">
      <w:pPr>
        <w:rPr>
          <w:rFonts w:ascii="Times New Roman" w:hAnsi="Times New Roman" w:cs="Times New Roman"/>
          <w:bCs/>
          <w:iCs/>
        </w:rPr>
      </w:pPr>
    </w:p>
    <w:p w:rsidR="00D75049" w:rsidRDefault="00D75049" w:rsidP="00105EA7">
      <w:pPr>
        <w:rPr>
          <w:rFonts w:ascii="Times New Roman" w:hAnsi="Times New Roman" w:cs="Times New Roman"/>
          <w:bCs/>
          <w:iCs/>
        </w:rPr>
      </w:pPr>
    </w:p>
    <w:p w:rsidR="00D75049" w:rsidRPr="005A3EEC" w:rsidRDefault="00D75049" w:rsidP="00105EA7">
      <w:pPr>
        <w:rPr>
          <w:rFonts w:ascii="Times New Roman" w:hAnsi="Times New Roman" w:cs="Times New Roman"/>
          <w:bCs/>
          <w:iCs/>
        </w:rPr>
      </w:pPr>
    </w:p>
    <w:p w:rsidR="00105EA7" w:rsidRPr="006A6D9F" w:rsidRDefault="00817F7E" w:rsidP="00920ADB">
      <w:pPr>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14</w:t>
      </w:r>
      <w:r w:rsidR="00105EA7" w:rsidRPr="006A6D9F">
        <w:rPr>
          <w:rFonts w:ascii="Times New Roman" w:hAnsi="Times New Roman" w:cs="Times New Roman"/>
          <w:b/>
          <w:bCs/>
          <w:i/>
          <w:iCs/>
          <w:sz w:val="28"/>
          <w:szCs w:val="28"/>
          <w:u w:val="single"/>
        </w:rPr>
        <w:t>. Végez-e a testület bármilyen felmérést arra von</w:t>
      </w:r>
      <w:r w:rsidR="00830E45" w:rsidRPr="006A6D9F">
        <w:rPr>
          <w:rFonts w:ascii="Times New Roman" w:hAnsi="Times New Roman" w:cs="Times New Roman"/>
          <w:b/>
          <w:bCs/>
          <w:i/>
          <w:iCs/>
          <w:sz w:val="28"/>
          <w:szCs w:val="28"/>
          <w:u w:val="single"/>
        </w:rPr>
        <w:t>atkozóan, hogy a hozzá forduló F</w:t>
      </w:r>
      <w:r w:rsidR="00105EA7" w:rsidRPr="006A6D9F">
        <w:rPr>
          <w:rFonts w:ascii="Times New Roman" w:hAnsi="Times New Roman" w:cs="Times New Roman"/>
          <w:b/>
          <w:bCs/>
          <w:i/>
          <w:iCs/>
          <w:sz w:val="28"/>
          <w:szCs w:val="28"/>
          <w:u w:val="single"/>
        </w:rPr>
        <w:t>ogyasztó hol tájékozódott arról, hogy jogvitáját a békéltető testületnél rendezheti? Amennyiben igen, ismertesse a felmérés(ek) eredményét!</w:t>
      </w:r>
    </w:p>
    <w:p w:rsidR="00892B84" w:rsidRDefault="00892B84" w:rsidP="00105EA7">
      <w:pPr>
        <w:rPr>
          <w:rFonts w:ascii="Times New Roman" w:hAnsi="Times New Roman" w:cs="Times New Roman"/>
          <w:bCs/>
          <w:i/>
          <w:iCs/>
          <w:sz w:val="28"/>
          <w:szCs w:val="28"/>
          <w:u w:val="single"/>
        </w:rPr>
      </w:pPr>
    </w:p>
    <w:p w:rsidR="00892B84" w:rsidRPr="00C2456F" w:rsidRDefault="00892B84" w:rsidP="00105EA7">
      <w:pPr>
        <w:rPr>
          <w:rFonts w:ascii="Times New Roman" w:hAnsi="Times New Roman" w:cs="Times New Roman"/>
          <w:bCs/>
          <w:iCs/>
        </w:rPr>
      </w:pPr>
      <w:r w:rsidRPr="00C2456F">
        <w:rPr>
          <w:rFonts w:ascii="Times New Roman" w:hAnsi="Times New Roman" w:cs="Times New Roman"/>
          <w:bCs/>
          <w:iCs/>
        </w:rPr>
        <w:t>Azoknak, akik a testület által ajánlott nyomtatványt használják, lehetőségük van önkéntesen kiválasztani a kérdőívből azokat a formákat, ahonnan informálódhattak a testületi eljárásról.</w:t>
      </w:r>
    </w:p>
    <w:p w:rsidR="00892B84" w:rsidRPr="00C2456F" w:rsidRDefault="00892B84" w:rsidP="00105EA7">
      <w:pPr>
        <w:rPr>
          <w:rFonts w:ascii="Times New Roman" w:hAnsi="Times New Roman" w:cs="Times New Roman"/>
          <w:bCs/>
          <w:iCs/>
        </w:rPr>
      </w:pPr>
      <w:r w:rsidRPr="00C2456F">
        <w:rPr>
          <w:rFonts w:ascii="Times New Roman" w:hAnsi="Times New Roman" w:cs="Times New Roman"/>
          <w:bCs/>
          <w:iCs/>
        </w:rPr>
        <w:t>Kapacitás hiányában ennek összegzése nem történt meg.</w:t>
      </w:r>
    </w:p>
    <w:p w:rsidR="00892B84" w:rsidRPr="00C2456F" w:rsidRDefault="00892B84" w:rsidP="00105EA7">
      <w:pPr>
        <w:rPr>
          <w:rFonts w:ascii="Times New Roman" w:hAnsi="Times New Roman" w:cs="Times New Roman"/>
          <w:bCs/>
          <w:iCs/>
        </w:rPr>
      </w:pPr>
      <w:r w:rsidRPr="00C2456F">
        <w:rPr>
          <w:rFonts w:ascii="Times New Roman" w:hAnsi="Times New Roman" w:cs="Times New Roman"/>
          <w:bCs/>
          <w:iCs/>
        </w:rPr>
        <w:t>A hatályos rendelkezések szerint most már a Vállalkozásoknak a testülethez fordulás lehetőségéről tájékoztatniuk kell a partnereiket – így nyilvánvalóan a legfontosabb és leggyakoribb tájékoztatási mód ez lesz.</w:t>
      </w:r>
    </w:p>
    <w:p w:rsidR="00C2456F" w:rsidRPr="00C2456F" w:rsidRDefault="00C2456F" w:rsidP="00105EA7">
      <w:pPr>
        <w:rPr>
          <w:rFonts w:ascii="Times New Roman" w:hAnsi="Times New Roman" w:cs="Times New Roman"/>
          <w:bCs/>
          <w:iCs/>
        </w:rPr>
      </w:pPr>
      <w:r w:rsidRPr="00C2456F">
        <w:rPr>
          <w:rFonts w:ascii="Times New Roman" w:hAnsi="Times New Roman" w:cs="Times New Roman"/>
          <w:bCs/>
          <w:iCs/>
        </w:rPr>
        <w:t>Azt is tudjuk, hogy a hatóságtól való információk alapján is sokan keresik meg a testületet.</w:t>
      </w:r>
    </w:p>
    <w:p w:rsidR="00105EA7" w:rsidRPr="00E32221" w:rsidRDefault="00105EA7" w:rsidP="00105EA7">
      <w:pPr>
        <w:rPr>
          <w:rFonts w:ascii="Times New Roman" w:hAnsi="Times New Roman" w:cs="Times New Roman"/>
          <w:bCs/>
          <w:i/>
          <w:iCs/>
          <w:sz w:val="28"/>
          <w:szCs w:val="28"/>
          <w:u w:val="single"/>
        </w:rPr>
      </w:pPr>
    </w:p>
    <w:p w:rsidR="00105EA7" w:rsidRPr="006A6D9F" w:rsidRDefault="008C5D07" w:rsidP="00920ADB">
      <w:pPr>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15</w:t>
      </w:r>
      <w:r w:rsidR="00105EA7" w:rsidRPr="006A6D9F">
        <w:rPr>
          <w:rFonts w:ascii="Times New Roman" w:hAnsi="Times New Roman" w:cs="Times New Roman"/>
          <w:b/>
          <w:bCs/>
          <w:i/>
          <w:iCs/>
          <w:sz w:val="28"/>
          <w:szCs w:val="28"/>
          <w:u w:val="single"/>
        </w:rPr>
        <w:t>. Értékelje a testület által lefolyatott eljárások eredményességét, illetve írja le a teljesítményük javításának lehetséges módjait.</w:t>
      </w:r>
    </w:p>
    <w:p w:rsidR="00892B84" w:rsidRPr="00E32221" w:rsidRDefault="00892B84" w:rsidP="00105EA7">
      <w:pPr>
        <w:rPr>
          <w:rFonts w:ascii="Times New Roman" w:hAnsi="Times New Roman" w:cs="Times New Roman"/>
          <w:bCs/>
          <w:i/>
          <w:iCs/>
          <w:sz w:val="28"/>
          <w:szCs w:val="28"/>
          <w:u w:val="single"/>
        </w:rPr>
      </w:pPr>
    </w:p>
    <w:p w:rsidR="003728EC" w:rsidRPr="008C5D07" w:rsidRDefault="003728EC" w:rsidP="00892B84">
      <w:pPr>
        <w:rPr>
          <w:rFonts w:ascii="Times New Roman" w:eastAsia="Times New Roman" w:hAnsi="Times New Roman" w:cs="Times New Roman"/>
          <w:lang w:eastAsia="hu-HU"/>
        </w:rPr>
      </w:pPr>
      <w:r w:rsidRPr="008C5D07">
        <w:rPr>
          <w:rFonts w:ascii="Times New Roman" w:eastAsia="Times New Roman" w:hAnsi="Times New Roman" w:cs="Times New Roman"/>
          <w:b/>
          <w:lang w:eastAsia="hu-HU"/>
        </w:rPr>
        <w:t>15.1. Az eljárások eredményessége és a testületi munka eredményessége nem választható el egymástól. Az eljárások eredményessége a döntések értékelő táblázataiból és a hozzájuk fűzött magyarázatokból kiolvashatóak (</w:t>
      </w:r>
      <w:r w:rsidRPr="008C5D07">
        <w:rPr>
          <w:rFonts w:ascii="Times New Roman" w:eastAsia="Times New Roman" w:hAnsi="Times New Roman" w:cs="Times New Roman"/>
          <w:lang w:eastAsia="hu-HU"/>
        </w:rPr>
        <w:t>lásd a 2. pont alatt bemutatott eredményeket).</w:t>
      </w:r>
    </w:p>
    <w:p w:rsidR="003728EC" w:rsidRPr="008C5D07" w:rsidRDefault="003728EC" w:rsidP="00892B84">
      <w:pPr>
        <w:rPr>
          <w:rFonts w:ascii="Times New Roman" w:eastAsia="Times New Roman" w:hAnsi="Times New Roman" w:cs="Times New Roman"/>
          <w:b/>
          <w:lang w:eastAsia="hu-HU"/>
        </w:rPr>
      </w:pPr>
    </w:p>
    <w:p w:rsidR="00892B84" w:rsidRPr="008C5D07" w:rsidRDefault="003728EC" w:rsidP="00892B84">
      <w:pPr>
        <w:rPr>
          <w:rFonts w:ascii="Times New Roman" w:eastAsia="Times New Roman" w:hAnsi="Times New Roman" w:cs="Times New Roman"/>
          <w:b/>
          <w:lang w:eastAsia="hu-HU"/>
        </w:rPr>
      </w:pPr>
      <w:r w:rsidRPr="008C5D07">
        <w:rPr>
          <w:rFonts w:ascii="Times New Roman" w:eastAsia="Times New Roman" w:hAnsi="Times New Roman" w:cs="Times New Roman"/>
          <w:b/>
          <w:lang w:eastAsia="hu-HU"/>
        </w:rPr>
        <w:t xml:space="preserve">15.2. </w:t>
      </w:r>
      <w:r w:rsidR="00892B84" w:rsidRPr="008C5D07">
        <w:rPr>
          <w:rFonts w:ascii="Times New Roman" w:eastAsia="Times New Roman" w:hAnsi="Times New Roman" w:cs="Times New Roman"/>
          <w:b/>
          <w:lang w:eastAsia="hu-HU"/>
        </w:rPr>
        <w:t xml:space="preserve">Ahogy azt már korábban is kifejtettük, </w:t>
      </w:r>
      <w:r w:rsidR="008C5D07">
        <w:rPr>
          <w:rFonts w:ascii="Times New Roman" w:eastAsia="Times New Roman" w:hAnsi="Times New Roman" w:cs="Times New Roman"/>
          <w:b/>
          <w:lang w:eastAsia="hu-HU"/>
        </w:rPr>
        <w:t xml:space="preserve">hogy </w:t>
      </w:r>
      <w:r w:rsidR="00892B84" w:rsidRPr="008C5D07">
        <w:rPr>
          <w:rFonts w:ascii="Times New Roman" w:eastAsia="Times New Roman" w:hAnsi="Times New Roman" w:cs="Times New Roman"/>
          <w:b/>
          <w:lang w:eastAsia="hu-HU"/>
        </w:rPr>
        <w:t xml:space="preserve">a kérdésre </w:t>
      </w:r>
      <w:r w:rsidRPr="008C5D07">
        <w:rPr>
          <w:rFonts w:ascii="Times New Roman" w:eastAsia="Times New Roman" w:hAnsi="Times New Roman" w:cs="Times New Roman"/>
          <w:b/>
          <w:lang w:eastAsia="hu-HU"/>
        </w:rPr>
        <w:t>(</w:t>
      </w:r>
      <w:r w:rsidRPr="008C5D07">
        <w:rPr>
          <w:rFonts w:ascii="Times New Roman" w:eastAsia="Times New Roman" w:hAnsi="Times New Roman" w:cs="Times New Roman"/>
          <w:lang w:eastAsia="hu-HU"/>
        </w:rPr>
        <w:t>a megközelítésből adódóan</w:t>
      </w:r>
      <w:r w:rsidRPr="008C5D07">
        <w:rPr>
          <w:rFonts w:ascii="Times New Roman" w:eastAsia="Times New Roman" w:hAnsi="Times New Roman" w:cs="Times New Roman"/>
          <w:b/>
          <w:lang w:eastAsia="hu-HU"/>
        </w:rPr>
        <w:t xml:space="preserve">) </w:t>
      </w:r>
      <w:r w:rsidR="00892B84" w:rsidRPr="008C5D07">
        <w:rPr>
          <w:rFonts w:ascii="Times New Roman" w:eastAsia="Times New Roman" w:hAnsi="Times New Roman" w:cs="Times New Roman"/>
          <w:b/>
          <w:lang w:eastAsia="hu-HU"/>
        </w:rPr>
        <w:t>több féle  válasz adható.</w:t>
      </w:r>
    </w:p>
    <w:p w:rsidR="003728EC" w:rsidRPr="008C5D07" w:rsidRDefault="005C0133" w:rsidP="00892B84">
      <w:pPr>
        <w:rPr>
          <w:rFonts w:ascii="Times New Roman" w:eastAsia="Times New Roman" w:hAnsi="Times New Roman" w:cs="Times New Roman"/>
          <w:lang w:eastAsia="hu-HU"/>
        </w:rPr>
      </w:pPr>
      <w:r w:rsidRPr="008C5D07">
        <w:rPr>
          <w:rFonts w:ascii="Times New Roman" w:eastAsia="Times New Roman" w:hAnsi="Times New Roman" w:cs="Times New Roman"/>
          <w:b/>
          <w:lang w:eastAsia="hu-HU"/>
        </w:rPr>
        <w:t>Az egyik válasz az az, hogy 2008</w:t>
      </w:r>
      <w:r w:rsidR="00892B84" w:rsidRPr="008C5D07">
        <w:rPr>
          <w:rFonts w:ascii="Times New Roman" w:eastAsia="Times New Roman" w:hAnsi="Times New Roman" w:cs="Times New Roman"/>
          <w:b/>
          <w:lang w:eastAsia="hu-HU"/>
        </w:rPr>
        <w:t>-tól (a BT vezet</w:t>
      </w:r>
      <w:r w:rsidRPr="008C5D07">
        <w:rPr>
          <w:rFonts w:ascii="Times New Roman" w:eastAsia="Times New Roman" w:hAnsi="Times New Roman" w:cs="Times New Roman"/>
          <w:b/>
          <w:lang w:eastAsia="hu-HU"/>
        </w:rPr>
        <w:t>ése ettől az időponttól dolgozott együtt</w:t>
      </w:r>
      <w:r w:rsidR="00892B84" w:rsidRPr="008C5D07">
        <w:rPr>
          <w:rFonts w:ascii="Times New Roman" w:eastAsia="Times New Roman" w:hAnsi="Times New Roman" w:cs="Times New Roman"/>
          <w:b/>
          <w:lang w:eastAsia="hu-HU"/>
        </w:rPr>
        <w:t>, és 2008-tól</w:t>
      </w:r>
      <w:r w:rsidR="008C5D07">
        <w:rPr>
          <w:rFonts w:ascii="Times New Roman" w:eastAsia="Times New Roman" w:hAnsi="Times New Roman" w:cs="Times New Roman"/>
          <w:b/>
          <w:lang w:eastAsia="hu-HU"/>
        </w:rPr>
        <w:t>, illetve 2012-től</w:t>
      </w:r>
      <w:r w:rsidR="00892B84" w:rsidRPr="008C5D07">
        <w:rPr>
          <w:rFonts w:ascii="Times New Roman" w:eastAsia="Times New Roman" w:hAnsi="Times New Roman" w:cs="Times New Roman"/>
          <w:b/>
          <w:lang w:eastAsia="hu-HU"/>
        </w:rPr>
        <w:t xml:space="preserve"> lényegében a „törzstagság” sem változott) a mai napig </w:t>
      </w:r>
      <w:r w:rsidRPr="008C5D07">
        <w:rPr>
          <w:rFonts w:ascii="Times New Roman" w:eastAsia="Times New Roman" w:hAnsi="Times New Roman" w:cs="Times New Roman"/>
          <w:b/>
          <w:lang w:eastAsia="hu-HU"/>
        </w:rPr>
        <w:t>az 1821</w:t>
      </w:r>
      <w:r w:rsidR="00892B84" w:rsidRPr="008C5D07">
        <w:rPr>
          <w:rFonts w:ascii="Times New Roman" w:eastAsia="Times New Roman" w:hAnsi="Times New Roman" w:cs="Times New Roman"/>
          <w:b/>
          <w:lang w:eastAsia="hu-HU"/>
        </w:rPr>
        <w:t xml:space="preserve"> befejezett ügyből, </w:t>
      </w:r>
      <w:r w:rsidR="00892B84" w:rsidRPr="008C5D07">
        <w:rPr>
          <w:rFonts w:ascii="Times New Roman" w:eastAsia="Times New Roman" w:hAnsi="Times New Roman" w:cs="Times New Roman"/>
          <w:lang w:eastAsia="hu-HU"/>
        </w:rPr>
        <w:t>mindösszesen 3 (három) esetben fordultak bírósághoz a hozott döntésekkel kapcsolatban!</w:t>
      </w:r>
      <w:r w:rsidR="00892B84" w:rsidRPr="008C5D07">
        <w:rPr>
          <w:rFonts w:ascii="Times New Roman" w:eastAsia="Times New Roman" w:hAnsi="Times New Roman" w:cs="Times New Roman"/>
          <w:b/>
          <w:lang w:eastAsia="hu-HU"/>
        </w:rPr>
        <w:t xml:space="preserve"> (</w:t>
      </w:r>
      <w:r w:rsidR="00892B84" w:rsidRPr="008C5D07">
        <w:rPr>
          <w:rFonts w:ascii="Times New Roman" w:eastAsia="Times New Roman" w:hAnsi="Times New Roman" w:cs="Times New Roman"/>
          <w:lang w:eastAsia="hu-HU"/>
        </w:rPr>
        <w:t>Ebből egy esetben tárgyalás nélkül elutasították a keresetet, 1-1 esetbe</w:t>
      </w:r>
      <w:r w:rsidR="003728EC" w:rsidRPr="008C5D07">
        <w:rPr>
          <w:rFonts w:ascii="Times New Roman" w:eastAsia="Times New Roman" w:hAnsi="Times New Roman" w:cs="Times New Roman"/>
          <w:lang w:eastAsia="hu-HU"/>
        </w:rPr>
        <w:t>n a felek megegyeztek, illetve</w:t>
      </w:r>
      <w:r w:rsidR="00892B84" w:rsidRPr="008C5D07">
        <w:rPr>
          <w:rFonts w:ascii="Times New Roman" w:eastAsia="Times New Roman" w:hAnsi="Times New Roman" w:cs="Times New Roman"/>
          <w:lang w:eastAsia="hu-HU"/>
        </w:rPr>
        <w:t xml:space="preserve"> a BT nem fellebbezett, mert nem volt olyan jelentősége az ügynek.) </w:t>
      </w:r>
      <w:r w:rsidR="003728EC" w:rsidRPr="008C5D07">
        <w:rPr>
          <w:rFonts w:ascii="Times New Roman" w:eastAsia="Times New Roman" w:hAnsi="Times New Roman" w:cs="Times New Roman"/>
          <w:b/>
          <w:lang w:eastAsia="hu-HU"/>
        </w:rPr>
        <w:t>2015-ben nem volt megtámadott döntésünk!</w:t>
      </w:r>
    </w:p>
    <w:p w:rsidR="00892B84" w:rsidRPr="008C5D07" w:rsidRDefault="00892B84" w:rsidP="00892B84">
      <w:pPr>
        <w:rPr>
          <w:rFonts w:ascii="Times New Roman" w:eastAsia="Times New Roman" w:hAnsi="Times New Roman" w:cs="Times New Roman"/>
          <w:lang w:eastAsia="hu-HU"/>
        </w:rPr>
      </w:pPr>
      <w:r w:rsidRPr="008C5D07">
        <w:rPr>
          <w:rFonts w:ascii="Times New Roman" w:eastAsia="Times New Roman" w:hAnsi="Times New Roman" w:cs="Times New Roman"/>
          <w:lang w:eastAsia="hu-HU"/>
        </w:rPr>
        <w:t xml:space="preserve">Tehát ezt értékelve, kijelenthető, hogy az </w:t>
      </w:r>
      <w:r w:rsidRPr="008C5D07">
        <w:rPr>
          <w:rFonts w:ascii="Times New Roman" w:eastAsia="Times New Roman" w:hAnsi="Times New Roman" w:cs="Times New Roman"/>
          <w:b/>
          <w:lang w:eastAsia="hu-HU"/>
        </w:rPr>
        <w:t>eljárások rendkívül eredményesek</w:t>
      </w:r>
      <w:r w:rsidRPr="008C5D07">
        <w:rPr>
          <w:rFonts w:ascii="Times New Roman" w:eastAsia="Times New Roman" w:hAnsi="Times New Roman" w:cs="Times New Roman"/>
          <w:lang w:eastAsia="hu-HU"/>
        </w:rPr>
        <w:t>.</w:t>
      </w:r>
    </w:p>
    <w:p w:rsidR="00892B84" w:rsidRPr="008C5D07" w:rsidRDefault="00892B84" w:rsidP="00892B84">
      <w:pPr>
        <w:rPr>
          <w:rFonts w:ascii="Times New Roman" w:eastAsia="Times New Roman" w:hAnsi="Times New Roman" w:cs="Times New Roman"/>
          <w:b/>
          <w:u w:val="single"/>
          <w:lang w:eastAsia="hu-HU"/>
        </w:rPr>
      </w:pPr>
      <w:r w:rsidRPr="008C5D07">
        <w:rPr>
          <w:rFonts w:ascii="Times New Roman" w:eastAsia="Times New Roman" w:hAnsi="Times New Roman" w:cs="Times New Roman"/>
          <w:b/>
          <w:u w:val="single"/>
          <w:lang w:eastAsia="hu-HU"/>
        </w:rPr>
        <w:t>A békéltető testület szempontjából ez a döntő!</w:t>
      </w:r>
    </w:p>
    <w:p w:rsidR="00892B84" w:rsidRPr="004F75BE" w:rsidRDefault="00892B84" w:rsidP="00892B84">
      <w:pPr>
        <w:rPr>
          <w:rFonts w:ascii="Times New Roman" w:eastAsia="Times New Roman" w:hAnsi="Times New Roman" w:cs="Times New Roman"/>
          <w:b/>
          <w:sz w:val="22"/>
          <w:szCs w:val="22"/>
          <w:lang w:eastAsia="hu-HU"/>
        </w:rPr>
      </w:pPr>
    </w:p>
    <w:p w:rsidR="00892B84" w:rsidRPr="008C5D07" w:rsidRDefault="003728EC" w:rsidP="00892B84">
      <w:pPr>
        <w:spacing w:after="120"/>
        <w:rPr>
          <w:rFonts w:ascii="Times New Roman" w:eastAsia="Times New Roman" w:hAnsi="Times New Roman" w:cs="Times New Roman"/>
          <w:b/>
          <w:lang w:eastAsia="hu-HU"/>
        </w:rPr>
      </w:pPr>
      <w:r w:rsidRPr="008C5D07">
        <w:rPr>
          <w:rFonts w:ascii="Times New Roman" w:eastAsia="Times New Roman" w:hAnsi="Times New Roman" w:cs="Times New Roman"/>
          <w:b/>
          <w:lang w:eastAsia="hu-HU"/>
        </w:rPr>
        <w:t xml:space="preserve">15.3. </w:t>
      </w:r>
      <w:r w:rsidR="00892B84" w:rsidRPr="008C5D07">
        <w:rPr>
          <w:rFonts w:ascii="Times New Roman" w:eastAsia="Times New Roman" w:hAnsi="Times New Roman" w:cs="Times New Roman"/>
          <w:lang w:eastAsia="hu-HU"/>
        </w:rPr>
        <w:t xml:space="preserve">Az a további felvetés </w:t>
      </w:r>
      <w:r w:rsidR="00892B84" w:rsidRPr="008C5D07">
        <w:rPr>
          <w:rFonts w:ascii="Times New Roman" w:eastAsia="Times New Roman" w:hAnsi="Times New Roman" w:cs="Times New Roman"/>
          <w:i/>
          <w:lang w:eastAsia="hu-HU"/>
        </w:rPr>
        <w:t xml:space="preserve">is </w:t>
      </w:r>
      <w:r w:rsidR="00892B84" w:rsidRPr="008C5D07">
        <w:rPr>
          <w:rFonts w:ascii="Times New Roman" w:eastAsia="Times New Roman" w:hAnsi="Times New Roman" w:cs="Times New Roman"/>
          <w:lang w:eastAsia="hu-HU"/>
        </w:rPr>
        <w:t>lehetséges, hogy</w:t>
      </w:r>
      <w:r w:rsidR="00892B84" w:rsidRPr="008C5D07">
        <w:rPr>
          <w:rFonts w:ascii="Times New Roman" w:eastAsia="Times New Roman" w:hAnsi="Times New Roman" w:cs="Times New Roman"/>
          <w:b/>
          <w:lang w:eastAsia="hu-HU"/>
        </w:rPr>
        <w:t xml:space="preserve"> </w:t>
      </w:r>
      <w:r w:rsidR="00892B84" w:rsidRPr="008C5D07">
        <w:rPr>
          <w:rFonts w:ascii="Times New Roman" w:eastAsia="Times New Roman" w:hAnsi="Times New Roman" w:cs="Times New Roman"/>
          <w:b/>
          <w:i/>
          <w:lang w:eastAsia="hu-HU"/>
        </w:rPr>
        <w:t xml:space="preserve">kinek a szempontjából </w:t>
      </w:r>
      <w:r w:rsidR="00892B84" w:rsidRPr="008C5D07">
        <w:rPr>
          <w:rFonts w:ascii="Times New Roman" w:eastAsia="Times New Roman" w:hAnsi="Times New Roman" w:cs="Times New Roman"/>
          <w:i/>
          <w:lang w:eastAsia="hu-HU"/>
        </w:rPr>
        <w:t>közelítjük meg</w:t>
      </w:r>
      <w:r w:rsidR="00892B84" w:rsidRPr="008C5D07">
        <w:rPr>
          <w:rFonts w:ascii="Times New Roman" w:eastAsia="Times New Roman" w:hAnsi="Times New Roman" w:cs="Times New Roman"/>
          <w:lang w:eastAsia="hu-HU"/>
        </w:rPr>
        <w:t xml:space="preserve"> a kérdést, vagyis az eredményességet?</w:t>
      </w:r>
      <w:r w:rsidR="00892B84" w:rsidRPr="008C5D07">
        <w:rPr>
          <w:rFonts w:ascii="Times New Roman" w:eastAsia="Times New Roman" w:hAnsi="Times New Roman" w:cs="Times New Roman"/>
          <w:b/>
          <w:lang w:eastAsia="hu-HU"/>
        </w:rPr>
        <w:t xml:space="preserve"> – bár </w:t>
      </w:r>
      <w:r w:rsidR="00892B84" w:rsidRPr="008C5D07">
        <w:rPr>
          <w:rFonts w:ascii="Times New Roman" w:eastAsia="Times New Roman" w:hAnsi="Times New Roman" w:cs="Times New Roman"/>
          <w:lang w:eastAsia="hu-HU"/>
        </w:rPr>
        <w:t xml:space="preserve">álláspontunk szerint ez nem </w:t>
      </w:r>
      <w:r w:rsidRPr="008C5D07">
        <w:rPr>
          <w:rFonts w:ascii="Times New Roman" w:eastAsia="Times New Roman" w:hAnsi="Times New Roman" w:cs="Times New Roman"/>
          <w:lang w:eastAsia="hu-HU"/>
        </w:rPr>
        <w:t xml:space="preserve">biztos, hogy </w:t>
      </w:r>
      <w:r w:rsidR="00892B84" w:rsidRPr="008C5D07">
        <w:rPr>
          <w:rFonts w:ascii="Times New Roman" w:eastAsia="Times New Roman" w:hAnsi="Times New Roman" w:cs="Times New Roman"/>
          <w:lang w:eastAsia="hu-HU"/>
        </w:rPr>
        <w:t>helyes kérdésfeltevés</w:t>
      </w:r>
      <w:r w:rsidR="00892B84" w:rsidRPr="008C5D07">
        <w:rPr>
          <w:rFonts w:ascii="Times New Roman" w:eastAsia="Times New Roman" w:hAnsi="Times New Roman" w:cs="Times New Roman"/>
          <w:b/>
          <w:lang w:eastAsia="hu-HU"/>
        </w:rPr>
        <w:t>, különösen a</w:t>
      </w:r>
      <w:r w:rsidR="00892B84" w:rsidRPr="008C5D07">
        <w:rPr>
          <w:rFonts w:ascii="Times New Roman" w:eastAsia="Times New Roman" w:hAnsi="Times New Roman" w:cs="Times New Roman"/>
          <w:b/>
          <w:i/>
          <w:lang w:eastAsia="hu-HU"/>
        </w:rPr>
        <w:t xml:space="preserve"> Fgytv. </w:t>
      </w:r>
      <w:r w:rsidR="00892B84" w:rsidRPr="008C5D07">
        <w:rPr>
          <w:rFonts w:ascii="Times New Roman" w:eastAsia="Times New Roman" w:hAnsi="Times New Roman" w:cs="Times New Roman"/>
          <w:b/>
          <w:bCs/>
          <w:i/>
          <w:lang w:eastAsia="hu-HU"/>
        </w:rPr>
        <w:t>24/A. §-ának figyelembe</w:t>
      </w:r>
      <w:r w:rsidR="008C5D07">
        <w:rPr>
          <w:rFonts w:ascii="Times New Roman" w:eastAsia="Times New Roman" w:hAnsi="Times New Roman" w:cs="Times New Roman"/>
          <w:b/>
          <w:bCs/>
          <w:i/>
          <w:lang w:eastAsia="hu-HU"/>
        </w:rPr>
        <w:t xml:space="preserve"> vétele mellett, hiszen </w:t>
      </w:r>
      <w:r w:rsidR="00892B84" w:rsidRPr="008C5D07">
        <w:rPr>
          <w:rFonts w:ascii="Times New Roman" w:eastAsia="Times New Roman" w:hAnsi="Times New Roman" w:cs="Times New Roman"/>
          <w:b/>
          <w:bCs/>
          <w:i/>
          <w:lang w:eastAsia="hu-HU"/>
        </w:rPr>
        <w:t>„</w:t>
      </w:r>
      <w:r w:rsidR="00892B84" w:rsidRPr="008C5D07">
        <w:rPr>
          <w:rFonts w:ascii="Times New Roman" w:eastAsia="Times New Roman" w:hAnsi="Times New Roman" w:cs="Times New Roman"/>
          <w:b/>
          <w:i/>
          <w:lang w:eastAsia="hu-HU"/>
        </w:rPr>
        <w:t xml:space="preserve">A békéltető testületi tagoknak függetlennek és pártatlannak kell lenniük (…).” </w:t>
      </w:r>
      <w:r w:rsidR="00892B84" w:rsidRPr="008C5D07">
        <w:rPr>
          <w:rFonts w:ascii="Times New Roman" w:eastAsia="Times New Roman" w:hAnsi="Times New Roman" w:cs="Times New Roman"/>
          <w:b/>
          <w:lang w:eastAsia="hu-HU"/>
        </w:rPr>
        <w:t xml:space="preserve"> </w:t>
      </w:r>
    </w:p>
    <w:p w:rsidR="00892B84" w:rsidRPr="00A24CCD" w:rsidRDefault="008C5D07" w:rsidP="00892B84">
      <w:pPr>
        <w:rPr>
          <w:rFonts w:ascii="Times New Roman" w:eastAsia="Times New Roman" w:hAnsi="Times New Roman" w:cs="Times New Roman"/>
          <w:lang w:eastAsia="hu-HU"/>
        </w:rPr>
      </w:pPr>
      <w:r w:rsidRPr="00A24CCD">
        <w:rPr>
          <w:rFonts w:ascii="Times New Roman" w:eastAsia="Times New Roman" w:hAnsi="Times New Roman" w:cs="Times New Roman"/>
          <w:lang w:eastAsia="hu-HU"/>
        </w:rPr>
        <w:t xml:space="preserve">15.3.1. </w:t>
      </w:r>
      <w:r w:rsidR="00892B84" w:rsidRPr="00A24CCD">
        <w:rPr>
          <w:rFonts w:ascii="Times New Roman" w:eastAsia="Times New Roman" w:hAnsi="Times New Roman" w:cs="Times New Roman"/>
          <w:lang w:eastAsia="hu-HU"/>
        </w:rPr>
        <w:t xml:space="preserve">Ha a </w:t>
      </w:r>
      <w:r w:rsidR="00892B84" w:rsidRPr="00A24CCD">
        <w:rPr>
          <w:rFonts w:ascii="Times New Roman" w:eastAsia="Times New Roman" w:hAnsi="Times New Roman" w:cs="Times New Roman"/>
          <w:b/>
          <w:lang w:eastAsia="hu-HU"/>
        </w:rPr>
        <w:t>fogyasztó oldaláról</w:t>
      </w:r>
      <w:r w:rsidR="00892B84" w:rsidRPr="00A24CCD">
        <w:rPr>
          <w:rFonts w:ascii="Times New Roman" w:eastAsia="Times New Roman" w:hAnsi="Times New Roman" w:cs="Times New Roman"/>
          <w:lang w:eastAsia="hu-HU"/>
        </w:rPr>
        <w:t xml:space="preserve"> közelítjük a feltett kérdést, akkor egyértelműen kijelenthető, hogy </w:t>
      </w:r>
      <w:r w:rsidR="00892B84" w:rsidRPr="00A24CCD">
        <w:rPr>
          <w:rFonts w:ascii="Times New Roman" w:eastAsia="Times New Roman" w:hAnsi="Times New Roman" w:cs="Times New Roman"/>
          <w:b/>
          <w:i/>
          <w:lang w:eastAsia="hu-HU"/>
        </w:rPr>
        <w:t xml:space="preserve">pozitív, vagyis eredményes az eljárás, amikor </w:t>
      </w:r>
      <w:r w:rsidR="00892B84" w:rsidRPr="00A24CCD">
        <w:rPr>
          <w:rFonts w:ascii="Times New Roman" w:eastAsia="Times New Roman" w:hAnsi="Times New Roman" w:cs="Times New Roman"/>
          <w:lang w:eastAsia="hu-HU"/>
        </w:rPr>
        <w:t xml:space="preserve"> </w:t>
      </w:r>
      <w:r w:rsidR="00892B84" w:rsidRPr="00A24CCD">
        <w:rPr>
          <w:rFonts w:ascii="Times New Roman" w:eastAsia="Times New Roman" w:hAnsi="Times New Roman" w:cs="Times New Roman"/>
          <w:b/>
          <w:i/>
          <w:lang w:eastAsia="hu-HU"/>
        </w:rPr>
        <w:t>egyezség</w:t>
      </w:r>
      <w:r w:rsidR="00892B84" w:rsidRPr="00A24CCD">
        <w:rPr>
          <w:rFonts w:ascii="Times New Roman" w:eastAsia="Times New Roman" w:hAnsi="Times New Roman" w:cs="Times New Roman"/>
          <w:lang w:eastAsia="hu-HU"/>
        </w:rPr>
        <w:t xml:space="preserve"> kötésére és jóváhagyására kerül sor, a </w:t>
      </w:r>
      <w:r w:rsidR="00892B84" w:rsidRPr="00A24CCD">
        <w:rPr>
          <w:rFonts w:ascii="Times New Roman" w:eastAsia="Times New Roman" w:hAnsi="Times New Roman" w:cs="Times New Roman"/>
          <w:b/>
          <w:i/>
          <w:lang w:eastAsia="hu-HU"/>
        </w:rPr>
        <w:t>kötelezés</w:t>
      </w:r>
      <w:r w:rsidR="00892B84" w:rsidRPr="00A24CCD">
        <w:rPr>
          <w:rFonts w:ascii="Times New Roman" w:eastAsia="Times New Roman" w:hAnsi="Times New Roman" w:cs="Times New Roman"/>
          <w:lang w:eastAsia="hu-HU"/>
        </w:rPr>
        <w:t xml:space="preserve">, és  az </w:t>
      </w:r>
      <w:r w:rsidR="00892B84" w:rsidRPr="00A24CCD">
        <w:rPr>
          <w:rFonts w:ascii="Times New Roman" w:eastAsia="Times New Roman" w:hAnsi="Times New Roman" w:cs="Times New Roman"/>
          <w:b/>
          <w:i/>
          <w:lang w:eastAsia="hu-HU"/>
        </w:rPr>
        <w:t>ajánlás</w:t>
      </w:r>
      <w:r w:rsidR="00892B84" w:rsidRPr="00A24CCD">
        <w:rPr>
          <w:rFonts w:ascii="Times New Roman" w:eastAsia="Times New Roman" w:hAnsi="Times New Roman" w:cs="Times New Roman"/>
          <w:lang w:eastAsia="hu-HU"/>
        </w:rPr>
        <w:t xml:space="preserve"> ide-sorolása szintén nem lehet vitás.  </w:t>
      </w:r>
      <w:r w:rsidR="00892B84" w:rsidRPr="00A24CCD">
        <w:rPr>
          <w:rFonts w:ascii="Times New Roman" w:eastAsia="Times New Roman" w:hAnsi="Times New Roman" w:cs="Times New Roman"/>
          <w:i/>
          <w:lang w:eastAsia="hu-HU"/>
        </w:rPr>
        <w:t>De ebbe a kategóriába tartozik a</w:t>
      </w:r>
      <w:r w:rsidR="00892B84" w:rsidRPr="00A24CCD">
        <w:rPr>
          <w:rFonts w:ascii="Times New Roman" w:eastAsia="Times New Roman" w:hAnsi="Times New Roman" w:cs="Times New Roman"/>
          <w:lang w:eastAsia="hu-HU"/>
        </w:rPr>
        <w:t xml:space="preserve">z </w:t>
      </w:r>
      <w:r w:rsidR="00892B84" w:rsidRPr="00A24CCD">
        <w:rPr>
          <w:rFonts w:ascii="Times New Roman" w:eastAsia="Times New Roman" w:hAnsi="Times New Roman" w:cs="Times New Roman"/>
          <w:b/>
          <w:i/>
          <w:lang w:eastAsia="hu-HU"/>
        </w:rPr>
        <w:t>a) és a b) pontos megszüntetés</w:t>
      </w:r>
      <w:r w:rsidRPr="00A24CCD">
        <w:rPr>
          <w:rFonts w:ascii="Times New Roman" w:eastAsia="Times New Roman" w:hAnsi="Times New Roman" w:cs="Times New Roman"/>
          <w:lang w:eastAsia="hu-HU"/>
        </w:rPr>
        <w:t xml:space="preserve"> is. A több, </w:t>
      </w:r>
      <w:r w:rsidR="005C0133" w:rsidRPr="00A24CCD">
        <w:rPr>
          <w:rFonts w:ascii="Times New Roman" w:eastAsia="Times New Roman" w:hAnsi="Times New Roman" w:cs="Times New Roman"/>
          <w:lang w:eastAsia="hu-HU"/>
        </w:rPr>
        <w:t>mint</w:t>
      </w:r>
      <w:r w:rsidR="00892B84" w:rsidRPr="00A24CCD">
        <w:rPr>
          <w:rFonts w:ascii="Times New Roman" w:eastAsia="Times New Roman" w:hAnsi="Times New Roman" w:cs="Times New Roman"/>
          <w:lang w:eastAsia="hu-HU"/>
        </w:rPr>
        <w:t xml:space="preserve"> 60 %-os eredményt a fogyasztók szempontjából egyértelműen eredményesnek tekinthetjük.</w:t>
      </w:r>
      <w:r w:rsidRPr="00A24CCD">
        <w:rPr>
          <w:rFonts w:ascii="Times New Roman" w:eastAsia="Times New Roman" w:hAnsi="Times New Roman" w:cs="Times New Roman"/>
          <w:lang w:eastAsia="hu-HU"/>
        </w:rPr>
        <w:t xml:space="preserve"> (És a c) pontos megszüntetések között is lehet sok olyan is, ami ha a bizonyítás lefolytatható lenne – pozitív eredményt jelentene. Azt is mondhatjuk, hogy ebben 50-50% az esély.)</w:t>
      </w:r>
    </w:p>
    <w:p w:rsidR="00892B84" w:rsidRPr="00A24CCD" w:rsidRDefault="00892B84" w:rsidP="00892B84">
      <w:pPr>
        <w:rPr>
          <w:rFonts w:ascii="Times New Roman" w:eastAsia="Times New Roman" w:hAnsi="Times New Roman" w:cs="Times New Roman"/>
          <w:lang w:eastAsia="hu-HU"/>
        </w:rPr>
      </w:pPr>
    </w:p>
    <w:p w:rsidR="00892B84" w:rsidRPr="00A24CCD" w:rsidRDefault="008C5D07" w:rsidP="00892B84">
      <w:pPr>
        <w:rPr>
          <w:rFonts w:ascii="Times New Roman" w:eastAsia="Times New Roman" w:hAnsi="Times New Roman" w:cs="Times New Roman"/>
          <w:lang w:eastAsia="hu-HU"/>
        </w:rPr>
      </w:pPr>
      <w:r w:rsidRPr="00A24CCD">
        <w:rPr>
          <w:rFonts w:ascii="Times New Roman" w:eastAsia="Times New Roman" w:hAnsi="Times New Roman" w:cs="Times New Roman"/>
          <w:lang w:eastAsia="hu-HU"/>
        </w:rPr>
        <w:t xml:space="preserve">15.3.2. </w:t>
      </w:r>
      <w:r w:rsidR="00892B84" w:rsidRPr="00A24CCD">
        <w:rPr>
          <w:rFonts w:ascii="Times New Roman" w:eastAsia="Times New Roman" w:hAnsi="Times New Roman" w:cs="Times New Roman"/>
          <w:lang w:eastAsia="hu-HU"/>
        </w:rPr>
        <w:t xml:space="preserve">A </w:t>
      </w:r>
      <w:r w:rsidR="00892B84" w:rsidRPr="00A24CCD">
        <w:rPr>
          <w:rFonts w:ascii="Times New Roman" w:eastAsia="Times New Roman" w:hAnsi="Times New Roman" w:cs="Times New Roman"/>
          <w:b/>
          <w:lang w:eastAsia="hu-HU"/>
        </w:rPr>
        <w:t>vállalkozások</w:t>
      </w:r>
      <w:r w:rsidR="00892B84" w:rsidRPr="00A24CCD">
        <w:rPr>
          <w:rFonts w:ascii="Times New Roman" w:eastAsia="Times New Roman" w:hAnsi="Times New Roman" w:cs="Times New Roman"/>
          <w:lang w:eastAsia="hu-HU"/>
        </w:rPr>
        <w:t xml:space="preserve"> ezt nyilván másképpen élik meg, hiszen az ő szempontjaik alapján „eredményesnek” azok a döntések tekinthetők, amelyekben maguk is, „önkéntesen”, felismerve a BT eljárását megelőző gyakorlatukat felülvizsgálva tesznek egyezségi ajánlatot, vagy eljáráson kívül megállapodnak a fogyasztóval. Ezek a 30. § (1) alap</w:t>
      </w:r>
      <w:r w:rsidRPr="00A24CCD">
        <w:rPr>
          <w:rFonts w:ascii="Times New Roman" w:eastAsia="Times New Roman" w:hAnsi="Times New Roman" w:cs="Times New Roman"/>
          <w:lang w:eastAsia="hu-HU"/>
        </w:rPr>
        <w:t>ján jóváhagyott egyezségek, és</w:t>
      </w:r>
      <w:r w:rsidR="00892B84" w:rsidRPr="00A24CCD">
        <w:rPr>
          <w:rFonts w:ascii="Times New Roman" w:eastAsia="Times New Roman" w:hAnsi="Times New Roman" w:cs="Times New Roman"/>
          <w:lang w:eastAsia="hu-HU"/>
        </w:rPr>
        <w:t xml:space="preserve"> az a) és b) pontos megszüntetések lehetnek. </w:t>
      </w:r>
    </w:p>
    <w:p w:rsidR="00892B84" w:rsidRPr="00A24CCD" w:rsidRDefault="00892B84" w:rsidP="005C0133">
      <w:pPr>
        <w:rPr>
          <w:rFonts w:ascii="Times New Roman" w:eastAsia="Times New Roman" w:hAnsi="Times New Roman" w:cs="Times New Roman"/>
          <w:lang w:eastAsia="hu-HU"/>
        </w:rPr>
      </w:pPr>
      <w:r w:rsidRPr="00A24CCD">
        <w:rPr>
          <w:rFonts w:ascii="Times New Roman" w:eastAsia="Times New Roman" w:hAnsi="Times New Roman" w:cs="Times New Roman"/>
          <w:i/>
          <w:lang w:eastAsia="hu-HU"/>
        </w:rPr>
        <w:t>Akár</w:t>
      </w:r>
      <w:r w:rsidRPr="00A24CCD">
        <w:rPr>
          <w:rFonts w:ascii="Times New Roman" w:eastAsia="Times New Roman" w:hAnsi="Times New Roman" w:cs="Times New Roman"/>
          <w:lang w:eastAsia="hu-HU"/>
        </w:rPr>
        <w:t xml:space="preserve"> a „lehetetlenségi” okból megszüntetett [c) pontos] eljárások is lehetnek eredményesek, ha úgy gondolkozik a vállalkozás, hogy nem marasztaltak el (nincs ajánlás sem) – tehát eredményes volt az eljárás</w:t>
      </w:r>
      <w:r w:rsidR="008C5D07" w:rsidRPr="00A24CCD">
        <w:rPr>
          <w:rFonts w:ascii="Times New Roman" w:eastAsia="Times New Roman" w:hAnsi="Times New Roman" w:cs="Times New Roman"/>
          <w:lang w:eastAsia="hu-HU"/>
        </w:rPr>
        <w:t xml:space="preserve"> (az 50-50 %-os esély itt is megvan)</w:t>
      </w:r>
      <w:r w:rsidRPr="00A24CCD">
        <w:rPr>
          <w:rFonts w:ascii="Times New Roman" w:eastAsia="Times New Roman" w:hAnsi="Times New Roman" w:cs="Times New Roman"/>
          <w:lang w:eastAsia="hu-HU"/>
        </w:rPr>
        <w:t>. Ha elutasítja az eljáró tanács a 32/A. § szerint, vagy a d) pontot azért alkalmazza, mert a kérelem megalapozatlan, akkor az is „eredményes” a vállalkozás oldaláról.</w:t>
      </w:r>
    </w:p>
    <w:p w:rsidR="003728EC" w:rsidRPr="00A24CCD" w:rsidRDefault="003728EC" w:rsidP="005C0133">
      <w:pPr>
        <w:rPr>
          <w:rFonts w:ascii="Times New Roman" w:eastAsia="Times New Roman" w:hAnsi="Times New Roman" w:cs="Times New Roman"/>
          <w:lang w:eastAsia="hu-HU"/>
        </w:rPr>
      </w:pPr>
    </w:p>
    <w:p w:rsidR="005C0133" w:rsidRPr="00A24CCD" w:rsidRDefault="003728EC" w:rsidP="00892B84">
      <w:pPr>
        <w:autoSpaceDE w:val="0"/>
        <w:autoSpaceDN w:val="0"/>
        <w:adjustRightInd w:val="0"/>
        <w:rPr>
          <w:rFonts w:ascii="Times New Roman" w:hAnsi="Times New Roman" w:cs="Times New Roman"/>
        </w:rPr>
      </w:pPr>
      <w:r w:rsidRPr="00A24CCD">
        <w:rPr>
          <w:rFonts w:ascii="Times New Roman" w:hAnsi="Times New Roman" w:cs="Times New Roman"/>
          <w:b/>
        </w:rPr>
        <w:t xml:space="preserve">15.4. </w:t>
      </w:r>
      <w:r w:rsidR="005C0133" w:rsidRPr="00A24CCD">
        <w:rPr>
          <w:rFonts w:ascii="Times New Roman" w:hAnsi="Times New Roman" w:cs="Times New Roman"/>
        </w:rPr>
        <w:t xml:space="preserve">Az eredményességet mutatja, hogy az elmúlt két ciklusban is tovább </w:t>
      </w:r>
      <w:r w:rsidR="005C0133" w:rsidRPr="00A24CCD">
        <w:rPr>
          <w:rFonts w:ascii="Times New Roman" w:hAnsi="Times New Roman" w:cs="Times New Roman"/>
          <w:b/>
        </w:rPr>
        <w:t xml:space="preserve">folytatódott az a tendencia, hogy a beérkezett, illetve a </w:t>
      </w:r>
      <w:r w:rsidR="005C0133" w:rsidRPr="00A24CCD">
        <w:rPr>
          <w:rFonts w:ascii="Times New Roman" w:hAnsi="Times New Roman" w:cs="Times New Roman"/>
          <w:b/>
          <w:i/>
        </w:rPr>
        <w:t>befejezett ügyek száma</w:t>
      </w:r>
      <w:r w:rsidR="005C0133" w:rsidRPr="00A24CCD">
        <w:rPr>
          <w:rFonts w:ascii="Times New Roman" w:hAnsi="Times New Roman" w:cs="Times New Roman"/>
          <w:b/>
        </w:rPr>
        <w:t xml:space="preserve"> növekvő</w:t>
      </w:r>
      <w:r w:rsidR="005C0133" w:rsidRPr="00A24CCD">
        <w:rPr>
          <w:rFonts w:ascii="Times New Roman" w:hAnsi="Times New Roman" w:cs="Times New Roman"/>
        </w:rPr>
        <w:t xml:space="preserve"> tendenciát mutat. (2008-tól: 124 – 145 – 227 – 204 – 239 – 312 – 253 – 317). </w:t>
      </w:r>
    </w:p>
    <w:p w:rsidR="00892B84" w:rsidRPr="00A24CCD" w:rsidRDefault="003728EC" w:rsidP="00892B84">
      <w:pPr>
        <w:autoSpaceDE w:val="0"/>
        <w:autoSpaceDN w:val="0"/>
        <w:adjustRightInd w:val="0"/>
        <w:rPr>
          <w:rFonts w:ascii="Times New Roman" w:hAnsi="Times New Roman" w:cs="Times New Roman"/>
        </w:rPr>
      </w:pPr>
      <w:r w:rsidRPr="00A24CCD">
        <w:rPr>
          <w:rFonts w:ascii="Times New Roman" w:hAnsi="Times New Roman" w:cs="Times New Roman"/>
        </w:rPr>
        <w:t>Ugyanakkor n</w:t>
      </w:r>
      <w:r w:rsidR="005C0133" w:rsidRPr="00A24CCD">
        <w:rPr>
          <w:rFonts w:ascii="Times New Roman" w:hAnsi="Times New Roman" w:cs="Times New Roman"/>
        </w:rPr>
        <w:t xml:space="preserve">em éltük meg sikerként, hogy különböző okok miatt (de elsősorban a pénzügyi helyzetből adódóan) </w:t>
      </w:r>
      <w:r w:rsidR="00920ADB" w:rsidRPr="00A24CCD">
        <w:rPr>
          <w:rFonts w:ascii="Times New Roman" w:hAnsi="Times New Roman" w:cs="Times New Roman"/>
        </w:rPr>
        <w:t>– l</w:t>
      </w:r>
      <w:r w:rsidR="00892B84" w:rsidRPr="00A24CCD">
        <w:rPr>
          <w:rFonts w:ascii="Times New Roman" w:hAnsi="Times New Roman" w:cs="Times New Roman"/>
        </w:rPr>
        <w:t xml:space="preserve">átható </w:t>
      </w:r>
      <w:r w:rsidR="005C0133" w:rsidRPr="00A24CCD">
        <w:rPr>
          <w:rFonts w:ascii="Times New Roman" w:hAnsi="Times New Roman" w:cs="Times New Roman"/>
        </w:rPr>
        <w:t xml:space="preserve">ez </w:t>
      </w:r>
      <w:r w:rsidR="00892B84" w:rsidRPr="00A24CCD">
        <w:rPr>
          <w:rFonts w:ascii="Times New Roman" w:hAnsi="Times New Roman" w:cs="Times New Roman"/>
        </w:rPr>
        <w:t>a központi nyilvántartásokból is</w:t>
      </w:r>
      <w:r w:rsidR="005C0133" w:rsidRPr="00A24CCD">
        <w:rPr>
          <w:rFonts w:ascii="Times New Roman" w:hAnsi="Times New Roman" w:cs="Times New Roman"/>
        </w:rPr>
        <w:t xml:space="preserve"> -</w:t>
      </w:r>
      <w:r w:rsidR="00892B84" w:rsidRPr="00A24CCD">
        <w:rPr>
          <w:rFonts w:ascii="Times New Roman" w:hAnsi="Times New Roman" w:cs="Times New Roman"/>
        </w:rPr>
        <w:t>, hogy az ügyekben igen magas arányban egyedül eljáró tagként lehetett csak részt venni, illetve az első négy hónapban a 3 tagú tanácsi munkát az elnök és elnökhelyettes részvételével tudták csak biztosítani</w:t>
      </w:r>
      <w:r w:rsidR="005C0133" w:rsidRPr="00A24CCD">
        <w:rPr>
          <w:rFonts w:ascii="Times New Roman" w:hAnsi="Times New Roman" w:cs="Times New Roman"/>
        </w:rPr>
        <w:t>.</w:t>
      </w:r>
      <w:r w:rsidR="00892B84" w:rsidRPr="00A24CCD">
        <w:rPr>
          <w:rFonts w:ascii="Times New Roman" w:hAnsi="Times New Roman" w:cs="Times New Roman"/>
        </w:rPr>
        <w:t xml:space="preserve"> Hangsúlyozni kell, hogy ez a terhelés a hozott döntések megalapozottságában, az írásba foglalások színvonalában, az expediálásoknál, és egyéb adminisztratív teendőkben is „csúcsot” jelentett</w:t>
      </w:r>
      <w:r w:rsidR="005C0133" w:rsidRPr="00A24CCD">
        <w:rPr>
          <w:rFonts w:ascii="Times New Roman" w:hAnsi="Times New Roman" w:cs="Times New Roman"/>
        </w:rPr>
        <w:t xml:space="preserve"> – és a megszokott jó színvonalon történtek ezek meg.</w:t>
      </w:r>
    </w:p>
    <w:p w:rsidR="00892B84" w:rsidRPr="00A24CCD" w:rsidRDefault="00892B84" w:rsidP="00892B84">
      <w:pPr>
        <w:autoSpaceDE w:val="0"/>
        <w:autoSpaceDN w:val="0"/>
        <w:adjustRightInd w:val="0"/>
        <w:rPr>
          <w:rFonts w:ascii="Times New Roman" w:hAnsi="Times New Roman" w:cs="Times New Roman"/>
        </w:rPr>
      </w:pPr>
    </w:p>
    <w:p w:rsidR="00892B84" w:rsidRPr="00A24CCD" w:rsidRDefault="003728EC" w:rsidP="00892B84">
      <w:pPr>
        <w:autoSpaceDE w:val="0"/>
        <w:autoSpaceDN w:val="0"/>
        <w:adjustRightInd w:val="0"/>
        <w:rPr>
          <w:rFonts w:ascii="Times New Roman" w:hAnsi="Times New Roman" w:cs="Times New Roman"/>
        </w:rPr>
      </w:pPr>
      <w:r w:rsidRPr="00A24CCD">
        <w:rPr>
          <w:rFonts w:ascii="Times New Roman" w:hAnsi="Times New Roman" w:cs="Times New Roman"/>
          <w:b/>
        </w:rPr>
        <w:t xml:space="preserve">15.5. </w:t>
      </w:r>
      <w:r w:rsidR="00892B84" w:rsidRPr="00A24CCD">
        <w:rPr>
          <w:rFonts w:ascii="Times New Roman" w:hAnsi="Times New Roman" w:cs="Times New Roman"/>
        </w:rPr>
        <w:t xml:space="preserve">A </w:t>
      </w:r>
      <w:r w:rsidR="00892B84" w:rsidRPr="00A24CCD">
        <w:rPr>
          <w:rFonts w:ascii="Times New Roman" w:hAnsi="Times New Roman" w:cs="Times New Roman"/>
          <w:b/>
          <w:i/>
        </w:rPr>
        <w:t>teljesítmény növelésének</w:t>
      </w:r>
      <w:r w:rsidR="00892B84" w:rsidRPr="00A24CCD">
        <w:rPr>
          <w:rFonts w:ascii="Times New Roman" w:hAnsi="Times New Roman" w:cs="Times New Roman"/>
        </w:rPr>
        <w:t xml:space="preserve"> módozatait megítélésünk szerint csak akkor kell majd vizsgálni, ha az érkezések száma jelentősebben megnőne. Egyébként pedig</w:t>
      </w:r>
      <w:r w:rsidRPr="00A24CCD">
        <w:rPr>
          <w:rFonts w:ascii="Times New Roman" w:hAnsi="Times New Roman" w:cs="Times New Roman"/>
        </w:rPr>
        <w:t>,</w:t>
      </w:r>
      <w:r w:rsidR="00892B84" w:rsidRPr="00A24CCD">
        <w:rPr>
          <w:rFonts w:ascii="Times New Roman" w:hAnsi="Times New Roman" w:cs="Times New Roman"/>
        </w:rPr>
        <w:t xml:space="preserve"> ha felmerül a növelés szükségessége, az csak akkor lesz javítható, </w:t>
      </w:r>
      <w:r w:rsidR="00892B84" w:rsidRPr="00A24CCD">
        <w:rPr>
          <w:rFonts w:ascii="Times New Roman" w:hAnsi="Times New Roman" w:cs="Times New Roman"/>
          <w:i/>
        </w:rPr>
        <w:t>ha annak</w:t>
      </w:r>
      <w:r w:rsidR="00892B84" w:rsidRPr="00A24CCD">
        <w:rPr>
          <w:rFonts w:ascii="Times New Roman" w:hAnsi="Times New Roman" w:cs="Times New Roman"/>
        </w:rPr>
        <w:t xml:space="preserve"> </w:t>
      </w:r>
      <w:r w:rsidR="00892B84" w:rsidRPr="00A24CCD">
        <w:rPr>
          <w:rFonts w:ascii="Times New Roman" w:hAnsi="Times New Roman" w:cs="Times New Roman"/>
          <w:i/>
        </w:rPr>
        <w:t>anyagi feltételei biztosítottak</w:t>
      </w:r>
      <w:r w:rsidR="00892B84" w:rsidRPr="00A24CCD">
        <w:rPr>
          <w:rFonts w:ascii="Times New Roman" w:hAnsi="Times New Roman" w:cs="Times New Roman"/>
        </w:rPr>
        <w:t xml:space="preserve"> lesznek, hisze</w:t>
      </w:r>
      <w:r w:rsidRPr="00A24CCD">
        <w:rPr>
          <w:rFonts w:ascii="Times New Roman" w:hAnsi="Times New Roman" w:cs="Times New Roman"/>
        </w:rPr>
        <w:t>n a 2016. január 5-én megalakuló</w:t>
      </w:r>
      <w:r w:rsidR="00892B84" w:rsidRPr="00A24CCD">
        <w:rPr>
          <w:rFonts w:ascii="Times New Roman" w:hAnsi="Times New Roman" w:cs="Times New Roman"/>
        </w:rPr>
        <w:t xml:space="preserve"> testület korösszetétele az előírtaknak teljesen megfelel, így nem lenne akadálya az új tagok beépülése után az akár még több feladat elvégzésének sem – amennyiben az ügyvédi leterheltségük annak nem vet gátat. </w:t>
      </w:r>
    </w:p>
    <w:p w:rsidR="003728EC" w:rsidRPr="00A24CCD" w:rsidRDefault="003728EC" w:rsidP="00892B84">
      <w:pPr>
        <w:autoSpaceDE w:val="0"/>
        <w:autoSpaceDN w:val="0"/>
        <w:adjustRightInd w:val="0"/>
        <w:rPr>
          <w:rFonts w:ascii="Times New Roman" w:hAnsi="Times New Roman" w:cs="Times New Roman"/>
        </w:rPr>
      </w:pPr>
    </w:p>
    <w:p w:rsidR="00892B84" w:rsidRPr="00A24CCD" w:rsidRDefault="00892B84" w:rsidP="00892B84">
      <w:pPr>
        <w:autoSpaceDE w:val="0"/>
        <w:autoSpaceDN w:val="0"/>
        <w:adjustRightInd w:val="0"/>
        <w:rPr>
          <w:rFonts w:ascii="Times New Roman" w:hAnsi="Times New Roman" w:cs="Times New Roman"/>
        </w:rPr>
      </w:pPr>
      <w:r w:rsidRPr="00A24CCD">
        <w:rPr>
          <w:rFonts w:ascii="Times New Roman" w:hAnsi="Times New Roman" w:cs="Times New Roman"/>
        </w:rPr>
        <w:t xml:space="preserve">[Figyelemmel vagyunk arra, hogy a 12 személyre csökkentett testületbe 7 új tag került be, közülük 6 nem érte el az általános öregségi nyugdíjkorhatárt. A kamara által delegált 6 tag közül 5 új, a „civilek” 4 régi tagot jelöltek. </w:t>
      </w:r>
    </w:p>
    <w:p w:rsidR="00892B84" w:rsidRPr="00A24CCD" w:rsidRDefault="00892B84" w:rsidP="00892B84">
      <w:pPr>
        <w:autoSpaceDE w:val="0"/>
        <w:autoSpaceDN w:val="0"/>
        <w:adjustRightInd w:val="0"/>
        <w:rPr>
          <w:rFonts w:ascii="Times New Roman" w:hAnsi="Times New Roman" w:cs="Times New Roman"/>
        </w:rPr>
      </w:pPr>
      <w:r w:rsidRPr="00A24CCD">
        <w:rPr>
          <w:rFonts w:ascii="Times New Roman" w:hAnsi="Times New Roman" w:cs="Times New Roman"/>
        </w:rPr>
        <w:t>Februártól fokozatosan vesznek részt az új tagok is – először, mint eljáró tanács tagjai – a meghallgatásokon, és a korábbi években bevált gyakorlatnak megfelelően, majd két-három hónap után</w:t>
      </w:r>
      <w:r w:rsidR="003728EC" w:rsidRPr="00A24CCD">
        <w:rPr>
          <w:rFonts w:ascii="Times New Roman" w:hAnsi="Times New Roman" w:cs="Times New Roman"/>
        </w:rPr>
        <w:t>,</w:t>
      </w:r>
      <w:r w:rsidRPr="00A24CCD">
        <w:rPr>
          <w:rFonts w:ascii="Times New Roman" w:hAnsi="Times New Roman" w:cs="Times New Roman"/>
        </w:rPr>
        <w:t xml:space="preserve"> értékelve a teljesítményeket, a lehetőségek és a vállalások alapján lesznek elnökök, vagy járnak el egyedül is az ügyekben.]</w:t>
      </w:r>
    </w:p>
    <w:p w:rsidR="00892B84" w:rsidRPr="00A24CCD" w:rsidRDefault="00892B84" w:rsidP="00892B84">
      <w:pPr>
        <w:autoSpaceDE w:val="0"/>
        <w:autoSpaceDN w:val="0"/>
        <w:adjustRightInd w:val="0"/>
        <w:rPr>
          <w:rFonts w:ascii="Times New Roman" w:hAnsi="Times New Roman" w:cs="Times New Roman"/>
        </w:rPr>
      </w:pPr>
    </w:p>
    <w:p w:rsidR="00AC79B5" w:rsidRPr="00A24CCD" w:rsidRDefault="003728EC" w:rsidP="00892B84">
      <w:pPr>
        <w:autoSpaceDE w:val="0"/>
        <w:autoSpaceDN w:val="0"/>
        <w:adjustRightInd w:val="0"/>
        <w:rPr>
          <w:rFonts w:ascii="Times New Roman" w:hAnsi="Times New Roman" w:cs="Times New Roman"/>
        </w:rPr>
      </w:pPr>
      <w:r w:rsidRPr="00A24CCD">
        <w:rPr>
          <w:rFonts w:ascii="Times New Roman" w:hAnsi="Times New Roman" w:cs="Times New Roman"/>
          <w:b/>
        </w:rPr>
        <w:t xml:space="preserve">15.6. A növeléshez hozzátartozhat, </w:t>
      </w:r>
      <w:r w:rsidRPr="00A24CCD">
        <w:rPr>
          <w:rFonts w:ascii="Times New Roman" w:hAnsi="Times New Roman" w:cs="Times New Roman"/>
        </w:rPr>
        <w:t>hogy olyan jogi környezet legyen, ami nem ne</w:t>
      </w:r>
      <w:r w:rsidR="00AC79B5" w:rsidRPr="00A24CCD">
        <w:rPr>
          <w:rFonts w:ascii="Times New Roman" w:hAnsi="Times New Roman" w:cs="Times New Roman"/>
        </w:rPr>
        <w:t xml:space="preserve">hezíti meg az ügyek intézését, </w:t>
      </w:r>
      <w:r w:rsidRPr="00A24CCD">
        <w:rPr>
          <w:rFonts w:ascii="Times New Roman" w:hAnsi="Times New Roman" w:cs="Times New Roman"/>
        </w:rPr>
        <w:t xml:space="preserve">illetve olyan hátteret adjon pl. az informatika, hogy az segítse az elemzést, és lehetőleg ne kelljen manuálisan már adatokat gyűjteni, és összevetésre előkészíteni. </w:t>
      </w:r>
    </w:p>
    <w:p w:rsidR="00B4787E" w:rsidRPr="00A24CCD" w:rsidRDefault="00B4787E" w:rsidP="00892B84">
      <w:pPr>
        <w:autoSpaceDE w:val="0"/>
        <w:autoSpaceDN w:val="0"/>
        <w:adjustRightInd w:val="0"/>
        <w:rPr>
          <w:rFonts w:ascii="Times New Roman" w:hAnsi="Times New Roman" w:cs="Times New Roman"/>
        </w:rPr>
      </w:pPr>
    </w:p>
    <w:p w:rsidR="00892B84" w:rsidRPr="00A24CCD" w:rsidRDefault="00AC79B5" w:rsidP="00892B84">
      <w:pPr>
        <w:autoSpaceDE w:val="0"/>
        <w:autoSpaceDN w:val="0"/>
        <w:adjustRightInd w:val="0"/>
        <w:rPr>
          <w:rFonts w:ascii="Times New Roman" w:hAnsi="Times New Roman" w:cs="Times New Roman"/>
        </w:rPr>
      </w:pPr>
      <w:r w:rsidRPr="00A24CCD">
        <w:rPr>
          <w:rFonts w:ascii="Times New Roman" w:hAnsi="Times New Roman" w:cs="Times New Roman"/>
        </w:rPr>
        <w:t>Minden évben felvetjük, hogy c</w:t>
      </w:r>
      <w:r w:rsidR="00892B84" w:rsidRPr="00A24CCD">
        <w:rPr>
          <w:rFonts w:ascii="Times New Roman" w:hAnsi="Times New Roman" w:cs="Times New Roman"/>
        </w:rPr>
        <w:t xml:space="preserve">élszerűnek tartanánk, ha </w:t>
      </w:r>
      <w:r w:rsidRPr="00A24CCD">
        <w:rPr>
          <w:rFonts w:ascii="Times New Roman" w:hAnsi="Times New Roman" w:cs="Times New Roman"/>
        </w:rPr>
        <w:t xml:space="preserve">ennek megfelelően legalább fél év lenne a felkészülésre e tekintetben is. Így, pl. az lenne a jó, ha </w:t>
      </w:r>
      <w:r w:rsidR="00892B84" w:rsidRPr="00A24CCD">
        <w:rPr>
          <w:rFonts w:ascii="Times New Roman" w:hAnsi="Times New Roman" w:cs="Times New Roman"/>
        </w:rPr>
        <w:t xml:space="preserve">2016. év első felében – figyelemmel a hatályos jogszabályokra is – elkészülne 2017. évre az egységes „jelentési rendszer”, az adatbevitel és statisztikai adatgyűjtés központilag kialakított számítógépes programmal megtámogatott rendszere, illetve kialakításra kerülne az egységes honlap-rendszer, illetve az online kérelem-benyújtás országosan egységes szabályzata, rendszere. </w:t>
      </w:r>
      <w:r w:rsidR="001A68C6" w:rsidRPr="00A24CCD">
        <w:rPr>
          <w:rFonts w:ascii="Times New Roman" w:hAnsi="Times New Roman" w:cs="Times New Roman"/>
        </w:rPr>
        <w:t>Ide tartozónak véljük azt is, hogy kiküszöbölésre kerülne pl. az az eltérés, ami a statisztikai összegzésnél jelentkezik. Ha az ügyek testületi tagok szerinti adatokban nézzük meg pl. az elnök teljesítményét a II. félévben, akkor 0-18-116-75-ös számsort kapunk. Ha ugyanezt a taglistában nézzük meg, akkor ott 0-18-41-75 szerepel.</w:t>
      </w:r>
      <w:r w:rsidR="00B4787E" w:rsidRPr="00A24CCD">
        <w:rPr>
          <w:rFonts w:ascii="Times New Roman" w:hAnsi="Times New Roman" w:cs="Times New Roman"/>
        </w:rPr>
        <w:t xml:space="preserve"> Az első félévben hasonló a helyzet: 0-82-29-37, illetve 0-82-66-37 a számsor. Vagyis az egyedül eljáró tagot nem azonosan rögzíti a rendszer. </w:t>
      </w:r>
    </w:p>
    <w:p w:rsidR="00B4787E" w:rsidRPr="00A24CCD" w:rsidRDefault="00B4787E" w:rsidP="00892B84">
      <w:pPr>
        <w:autoSpaceDE w:val="0"/>
        <w:autoSpaceDN w:val="0"/>
        <w:adjustRightInd w:val="0"/>
        <w:rPr>
          <w:rFonts w:ascii="Times New Roman" w:hAnsi="Times New Roman" w:cs="Times New Roman"/>
        </w:rPr>
      </w:pPr>
      <w:r w:rsidRPr="00A24CCD">
        <w:rPr>
          <w:rFonts w:ascii="Times New Roman" w:hAnsi="Times New Roman" w:cs="Times New Roman"/>
        </w:rPr>
        <w:t>Az is problémát jelent, hogy a korrigálási lehetőség egyes esetekben nincs megoldva. Az adatbevitellel foglalkozó munkatárs is tévedhet. Ha pl. beviszi a VEMBT 173/2015 számú ügyet, és kilép a rendszerből, utána ha észreveszi, hogy hibás a beviteli adat, nem tudja javítani, így két VEMBT 173/2015 számú ügy szerepel a listában.</w:t>
      </w:r>
    </w:p>
    <w:p w:rsidR="00892B84" w:rsidRDefault="00892B84" w:rsidP="00892B84">
      <w:pPr>
        <w:autoSpaceDE w:val="0"/>
        <w:autoSpaceDN w:val="0"/>
        <w:adjustRightInd w:val="0"/>
        <w:rPr>
          <w:rFonts w:ascii="Times New Roman" w:hAnsi="Times New Roman" w:cs="Times New Roman"/>
        </w:rPr>
      </w:pPr>
    </w:p>
    <w:p w:rsidR="004F75BE" w:rsidRDefault="004F75BE" w:rsidP="00892B84">
      <w:pPr>
        <w:autoSpaceDE w:val="0"/>
        <w:autoSpaceDN w:val="0"/>
        <w:adjustRightInd w:val="0"/>
        <w:rPr>
          <w:rFonts w:ascii="Times New Roman" w:hAnsi="Times New Roman" w:cs="Times New Roman"/>
        </w:rPr>
      </w:pPr>
      <w:r>
        <w:rPr>
          <w:rFonts w:ascii="Times New Roman" w:hAnsi="Times New Roman" w:cs="Times New Roman"/>
        </w:rPr>
        <w:t>A 2015. évről szóló beszámolót a testület előzetesen megismerte, véleményezte.</w:t>
      </w:r>
    </w:p>
    <w:p w:rsidR="004F75BE" w:rsidRDefault="004F75BE" w:rsidP="00892B84">
      <w:pPr>
        <w:autoSpaceDE w:val="0"/>
        <w:autoSpaceDN w:val="0"/>
        <w:adjustRightInd w:val="0"/>
        <w:rPr>
          <w:rFonts w:ascii="Times New Roman" w:hAnsi="Times New Roman" w:cs="Times New Roman"/>
        </w:rPr>
      </w:pPr>
    </w:p>
    <w:p w:rsidR="004F75BE" w:rsidRDefault="00B4787E" w:rsidP="00892B84">
      <w:pPr>
        <w:autoSpaceDE w:val="0"/>
        <w:autoSpaceDN w:val="0"/>
        <w:adjustRightInd w:val="0"/>
        <w:rPr>
          <w:rFonts w:ascii="Times New Roman" w:hAnsi="Times New Roman" w:cs="Times New Roman"/>
          <w:b/>
          <w:i/>
          <w:sz w:val="28"/>
          <w:szCs w:val="28"/>
          <w:u w:val="single"/>
        </w:rPr>
      </w:pPr>
      <w:r>
        <w:rPr>
          <w:rFonts w:ascii="Times New Roman" w:hAnsi="Times New Roman" w:cs="Times New Roman"/>
          <w:b/>
          <w:i/>
          <w:sz w:val="28"/>
          <w:szCs w:val="28"/>
          <w:u w:val="single"/>
        </w:rPr>
        <w:t>16. Mellékletek</w:t>
      </w:r>
    </w:p>
    <w:p w:rsidR="00A151DE" w:rsidRDefault="00A151DE" w:rsidP="00892B84">
      <w:pPr>
        <w:autoSpaceDE w:val="0"/>
        <w:autoSpaceDN w:val="0"/>
        <w:adjustRightInd w:val="0"/>
        <w:rPr>
          <w:rFonts w:ascii="Times New Roman" w:hAnsi="Times New Roman" w:cs="Times New Roman"/>
          <w:b/>
          <w:i/>
          <w:sz w:val="28"/>
          <w:szCs w:val="28"/>
          <w:u w:val="single"/>
        </w:rPr>
      </w:pPr>
    </w:p>
    <w:tbl>
      <w:tblPr>
        <w:tblW w:w="0" w:type="auto"/>
        <w:jc w:val="center"/>
        <w:tblCellMar>
          <w:left w:w="70" w:type="dxa"/>
          <w:right w:w="70" w:type="dxa"/>
        </w:tblCellMar>
        <w:tblLook w:val="0000" w:firstRow="0" w:lastRow="0" w:firstColumn="0" w:lastColumn="0" w:noHBand="0" w:noVBand="0"/>
      </w:tblPr>
      <w:tblGrid>
        <w:gridCol w:w="808"/>
        <w:gridCol w:w="8404"/>
      </w:tblGrid>
      <w:tr w:rsidR="0013508A" w:rsidRPr="00A151DE" w:rsidTr="00F1706B">
        <w:trPr>
          <w:jc w:val="center"/>
        </w:trPr>
        <w:tc>
          <w:tcPr>
            <w:tcW w:w="808" w:type="dxa"/>
          </w:tcPr>
          <w:p w:rsidR="0013508A" w:rsidRPr="00A151DE" w:rsidRDefault="0013508A" w:rsidP="00F1706B">
            <w:pPr>
              <w:rPr>
                <w:rFonts w:ascii="Times New Roman" w:eastAsia="Times New Roman" w:hAnsi="Times New Roman" w:cs="Times New Roman"/>
                <w:lang w:eastAsia="hu-HU"/>
              </w:rPr>
            </w:pPr>
            <w:r w:rsidRPr="00A151DE">
              <w:rPr>
                <w:rFonts w:ascii="Times New Roman" w:eastAsia="Times New Roman" w:hAnsi="Times New Roman" w:cs="Times New Roman"/>
                <w:lang w:eastAsia="hu-HU"/>
              </w:rPr>
              <w:t>(M1)</w:t>
            </w:r>
          </w:p>
          <w:p w:rsidR="0013508A" w:rsidRPr="00A151DE" w:rsidRDefault="0013508A" w:rsidP="00F1706B">
            <w:pPr>
              <w:rPr>
                <w:rFonts w:ascii="Times New Roman" w:eastAsia="Times New Roman" w:hAnsi="Times New Roman" w:cs="Times New Roman"/>
                <w:lang w:eastAsia="hu-HU"/>
              </w:rPr>
            </w:pPr>
            <w:r>
              <w:rPr>
                <w:rFonts w:ascii="Times New Roman" w:eastAsia="Times New Roman" w:hAnsi="Times New Roman" w:cs="Times New Roman"/>
                <w:lang w:eastAsia="hu-HU"/>
              </w:rPr>
              <w:t>(M2A</w:t>
            </w:r>
            <w:r w:rsidRPr="00A151DE">
              <w:rPr>
                <w:rFonts w:ascii="Times New Roman" w:eastAsia="Times New Roman" w:hAnsi="Times New Roman" w:cs="Times New Roman"/>
                <w:lang w:eastAsia="hu-HU"/>
              </w:rPr>
              <w:t>)</w:t>
            </w:r>
          </w:p>
          <w:p w:rsidR="0013508A" w:rsidRPr="00A151DE" w:rsidRDefault="0013508A" w:rsidP="00F1706B">
            <w:pPr>
              <w:rPr>
                <w:rFonts w:ascii="Times New Roman" w:eastAsia="Times New Roman" w:hAnsi="Times New Roman" w:cs="Times New Roman"/>
                <w:lang w:eastAsia="hu-HU"/>
              </w:rPr>
            </w:pPr>
            <w:r>
              <w:rPr>
                <w:rFonts w:ascii="Times New Roman" w:eastAsia="Times New Roman" w:hAnsi="Times New Roman" w:cs="Times New Roman"/>
                <w:lang w:eastAsia="hu-HU"/>
              </w:rPr>
              <w:t>(M2B</w:t>
            </w:r>
            <w:r w:rsidRPr="00A151DE">
              <w:rPr>
                <w:rFonts w:ascii="Times New Roman" w:eastAsia="Times New Roman" w:hAnsi="Times New Roman" w:cs="Times New Roman"/>
                <w:lang w:eastAsia="hu-HU"/>
              </w:rPr>
              <w:t>)</w:t>
            </w:r>
          </w:p>
          <w:p w:rsidR="0013508A" w:rsidRPr="00A151DE" w:rsidRDefault="0013508A" w:rsidP="00F1706B">
            <w:pPr>
              <w:rPr>
                <w:rFonts w:ascii="Times New Roman" w:eastAsia="Times New Roman" w:hAnsi="Times New Roman" w:cs="Times New Roman"/>
                <w:lang w:eastAsia="hu-HU"/>
              </w:rPr>
            </w:pPr>
            <w:r w:rsidRPr="00A151DE">
              <w:rPr>
                <w:rFonts w:ascii="Times New Roman" w:eastAsia="Times New Roman" w:hAnsi="Times New Roman" w:cs="Times New Roman"/>
                <w:lang w:eastAsia="hu-HU"/>
              </w:rPr>
              <w:t>(M3)</w:t>
            </w:r>
          </w:p>
          <w:p w:rsidR="0013508A" w:rsidRDefault="0013508A" w:rsidP="00F1706B">
            <w:pPr>
              <w:rPr>
                <w:rFonts w:ascii="Times New Roman" w:eastAsia="Times New Roman" w:hAnsi="Times New Roman" w:cs="Times New Roman"/>
                <w:lang w:eastAsia="hu-HU"/>
              </w:rPr>
            </w:pPr>
          </w:p>
          <w:p w:rsidR="0013508A" w:rsidRPr="00A151DE" w:rsidRDefault="0013508A" w:rsidP="00F1706B">
            <w:pPr>
              <w:rPr>
                <w:rFonts w:ascii="Times New Roman" w:eastAsia="Times New Roman" w:hAnsi="Times New Roman" w:cs="Times New Roman"/>
                <w:lang w:eastAsia="hu-HU"/>
              </w:rPr>
            </w:pPr>
            <w:r w:rsidRPr="00A151DE">
              <w:rPr>
                <w:rFonts w:ascii="Times New Roman" w:eastAsia="Times New Roman" w:hAnsi="Times New Roman" w:cs="Times New Roman"/>
                <w:lang w:eastAsia="hu-HU"/>
              </w:rPr>
              <w:t>(M4)</w:t>
            </w:r>
          </w:p>
        </w:tc>
        <w:tc>
          <w:tcPr>
            <w:tcW w:w="8434" w:type="dxa"/>
          </w:tcPr>
          <w:p w:rsidR="0013508A" w:rsidRPr="00A151DE" w:rsidRDefault="0013508A" w:rsidP="00F1706B">
            <w:pPr>
              <w:ind w:left="4489" w:hanging="4489"/>
              <w:rPr>
                <w:rFonts w:ascii="Times New Roman" w:eastAsia="Times New Roman" w:hAnsi="Times New Roman" w:cs="Times New Roman"/>
                <w:lang w:eastAsia="hu-HU"/>
              </w:rPr>
            </w:pPr>
            <w:r w:rsidRPr="00A151DE">
              <w:rPr>
                <w:rFonts w:ascii="Times New Roman" w:eastAsia="Times New Roman" w:hAnsi="Times New Roman" w:cs="Times New Roman"/>
                <w:lang w:eastAsia="hu-HU"/>
              </w:rPr>
              <w:t xml:space="preserve">Statisztikai adatlap a békéltető testület </w:t>
            </w:r>
            <w:r>
              <w:rPr>
                <w:rFonts w:ascii="Times New Roman" w:eastAsia="Times New Roman" w:hAnsi="Times New Roman" w:cs="Times New Roman"/>
                <w:lang w:eastAsia="hu-HU"/>
              </w:rPr>
              <w:t>ügyszáma és az ügyek kimenetele</w:t>
            </w:r>
          </w:p>
          <w:p w:rsidR="0013508A" w:rsidRPr="00A151DE" w:rsidRDefault="0013508A" w:rsidP="00F1706B">
            <w:pPr>
              <w:rPr>
                <w:rFonts w:ascii="Times New Roman" w:eastAsia="Times New Roman" w:hAnsi="Times New Roman" w:cs="Times New Roman"/>
                <w:lang w:eastAsia="hu-HU"/>
              </w:rPr>
            </w:pPr>
            <w:r w:rsidRPr="00A151DE">
              <w:rPr>
                <w:rFonts w:ascii="Times New Roman" w:eastAsia="Times New Roman" w:hAnsi="Times New Roman" w:cs="Times New Roman"/>
                <w:lang w:eastAsia="hu-HU"/>
              </w:rPr>
              <w:t>Statisztikai adatl</w:t>
            </w:r>
            <w:r>
              <w:rPr>
                <w:rFonts w:ascii="Times New Roman" w:eastAsia="Times New Roman" w:hAnsi="Times New Roman" w:cs="Times New Roman"/>
                <w:lang w:eastAsia="hu-HU"/>
              </w:rPr>
              <w:t xml:space="preserve">ap a békéltető testületi ügyek </w:t>
            </w:r>
            <w:r w:rsidRPr="00A151DE">
              <w:rPr>
                <w:rFonts w:ascii="Times New Roman" w:eastAsia="Times New Roman" w:hAnsi="Times New Roman" w:cs="Times New Roman"/>
                <w:lang w:eastAsia="hu-HU"/>
              </w:rPr>
              <w:t>megoszlásáról</w:t>
            </w:r>
            <w:r>
              <w:rPr>
                <w:rFonts w:ascii="Times New Roman" w:eastAsia="Times New Roman" w:hAnsi="Times New Roman" w:cs="Times New Roman"/>
                <w:lang w:eastAsia="hu-HU"/>
              </w:rPr>
              <w:t xml:space="preserve"> </w:t>
            </w:r>
            <w:r w:rsidR="00920ADB">
              <w:rPr>
                <w:rFonts w:ascii="Times New Roman" w:eastAsia="Times New Roman" w:hAnsi="Times New Roman" w:cs="Times New Roman"/>
                <w:lang w:eastAsia="hu-HU"/>
              </w:rPr>
              <w:t>– t</w:t>
            </w:r>
            <w:r>
              <w:rPr>
                <w:rFonts w:ascii="Times New Roman" w:eastAsia="Times New Roman" w:hAnsi="Times New Roman" w:cs="Times New Roman"/>
                <w:lang w:eastAsia="hu-HU"/>
              </w:rPr>
              <w:t xml:space="preserve">ermékek </w:t>
            </w:r>
          </w:p>
          <w:p w:rsidR="0013508A" w:rsidRPr="00A151DE" w:rsidRDefault="0013508A" w:rsidP="00F1706B">
            <w:pPr>
              <w:rPr>
                <w:rFonts w:ascii="Times New Roman" w:eastAsia="Times New Roman" w:hAnsi="Times New Roman" w:cs="Times New Roman"/>
                <w:lang w:eastAsia="hu-HU"/>
              </w:rPr>
            </w:pPr>
            <w:r w:rsidRPr="00A151DE">
              <w:rPr>
                <w:rFonts w:ascii="Times New Roman" w:eastAsia="Times New Roman" w:hAnsi="Times New Roman" w:cs="Times New Roman"/>
                <w:lang w:eastAsia="hu-HU"/>
              </w:rPr>
              <w:t xml:space="preserve">Statisztikai adatlap a békéltető testületi ügyek megoszlásáról </w:t>
            </w:r>
            <w:r w:rsidR="00920ADB">
              <w:rPr>
                <w:rFonts w:ascii="Times New Roman" w:eastAsia="Times New Roman" w:hAnsi="Times New Roman" w:cs="Times New Roman"/>
                <w:lang w:eastAsia="hu-HU"/>
              </w:rPr>
              <w:t>–</w:t>
            </w:r>
            <w:r>
              <w:rPr>
                <w:rFonts w:ascii="Times New Roman" w:eastAsia="Times New Roman" w:hAnsi="Times New Roman" w:cs="Times New Roman"/>
                <w:lang w:eastAsia="hu-HU"/>
              </w:rPr>
              <w:t xml:space="preserve"> </w:t>
            </w:r>
            <w:r w:rsidR="00920ADB">
              <w:rPr>
                <w:rFonts w:ascii="Times New Roman" w:eastAsia="Times New Roman" w:hAnsi="Times New Roman" w:cs="Times New Roman"/>
                <w:lang w:eastAsia="hu-HU"/>
              </w:rPr>
              <w:t>s</w:t>
            </w:r>
            <w:r w:rsidRPr="00A151DE">
              <w:rPr>
                <w:rFonts w:ascii="Times New Roman" w:eastAsia="Times New Roman" w:hAnsi="Times New Roman" w:cs="Times New Roman"/>
                <w:lang w:eastAsia="hu-HU"/>
              </w:rPr>
              <w:t>zolgáltatások</w:t>
            </w:r>
          </w:p>
          <w:p w:rsidR="0013508A" w:rsidRPr="00A151DE" w:rsidRDefault="0013508A" w:rsidP="00F1706B">
            <w:pPr>
              <w:rPr>
                <w:rFonts w:ascii="Times New Roman" w:eastAsia="Times New Roman" w:hAnsi="Times New Roman" w:cs="Times New Roman"/>
                <w:lang w:eastAsia="hu-HU"/>
              </w:rPr>
            </w:pPr>
            <w:r>
              <w:rPr>
                <w:rFonts w:ascii="Times New Roman" w:eastAsia="Times New Roman" w:hAnsi="Times New Roman" w:cs="Times New Roman"/>
                <w:bCs/>
                <w:color w:val="000000"/>
                <w:lang w:eastAsia="hu-HU"/>
              </w:rPr>
              <w:t>Statisztikai adatlap a</w:t>
            </w:r>
            <w:r w:rsidRPr="00A151DE">
              <w:rPr>
                <w:rFonts w:ascii="Times New Roman" w:eastAsia="Times New Roman" w:hAnsi="Times New Roman" w:cs="Times New Roman"/>
                <w:bCs/>
                <w:color w:val="000000"/>
                <w:lang w:eastAsia="hu-HU"/>
              </w:rPr>
              <w:t xml:space="preserve"> fogya</w:t>
            </w:r>
            <w:r>
              <w:rPr>
                <w:rFonts w:ascii="Times New Roman" w:eastAsia="Times New Roman" w:hAnsi="Times New Roman" w:cs="Times New Roman"/>
                <w:bCs/>
                <w:color w:val="000000"/>
                <w:lang w:eastAsia="hu-HU"/>
              </w:rPr>
              <w:t xml:space="preserve">sztói jogviták intézésének módjáról – és a testületi vezetők eljárásban való részvételéről </w:t>
            </w:r>
          </w:p>
          <w:p w:rsidR="0013508A" w:rsidRPr="00A151DE" w:rsidRDefault="0013508A" w:rsidP="00F1706B">
            <w:pPr>
              <w:rPr>
                <w:rFonts w:ascii="Times New Roman" w:eastAsia="Times New Roman" w:hAnsi="Times New Roman" w:cs="Times New Roman"/>
                <w:lang w:eastAsia="hu-HU"/>
              </w:rPr>
            </w:pPr>
            <w:r w:rsidRPr="00A151DE">
              <w:rPr>
                <w:rFonts w:ascii="Times New Roman" w:eastAsia="Times New Roman" w:hAnsi="Times New Roman" w:cs="Times New Roman"/>
                <w:lang w:eastAsia="hu-HU"/>
              </w:rPr>
              <w:t xml:space="preserve">Statisztikai adatlap a békéltető testület döntéseinek bíróság előtti megtámadásáról </w:t>
            </w:r>
          </w:p>
        </w:tc>
      </w:tr>
    </w:tbl>
    <w:p w:rsidR="00A151DE" w:rsidRDefault="00A151DE" w:rsidP="00892B84">
      <w:pPr>
        <w:autoSpaceDE w:val="0"/>
        <w:autoSpaceDN w:val="0"/>
        <w:adjustRightInd w:val="0"/>
        <w:rPr>
          <w:rFonts w:ascii="Times New Roman" w:hAnsi="Times New Roman" w:cs="Times New Roman"/>
          <w:b/>
          <w:i/>
          <w:sz w:val="28"/>
          <w:szCs w:val="28"/>
          <w:u w:val="single"/>
        </w:rPr>
      </w:pPr>
    </w:p>
    <w:p w:rsidR="00A24CCD" w:rsidRPr="006B4DD5" w:rsidRDefault="00A24CCD" w:rsidP="00A24CCD">
      <w:pPr>
        <w:rPr>
          <w:b/>
        </w:rPr>
      </w:pPr>
    </w:p>
    <w:tbl>
      <w:tblPr>
        <w:tblW w:w="9612" w:type="dxa"/>
        <w:tblInd w:w="70"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9612"/>
      </w:tblGrid>
      <w:tr w:rsidR="00A24CCD" w:rsidRPr="00A24CCD" w:rsidTr="000223CC">
        <w:trPr>
          <w:trHeight w:val="3250"/>
        </w:trPr>
        <w:tc>
          <w:tcPr>
            <w:tcW w:w="9612" w:type="dxa"/>
          </w:tcPr>
          <w:p w:rsidR="00A24CCD" w:rsidRPr="00A24CCD" w:rsidRDefault="00A24CCD" w:rsidP="000223CC">
            <w:pPr>
              <w:ind w:left="-27"/>
              <w:rPr>
                <w:rFonts w:ascii="Times New Roman" w:hAnsi="Times New Roman" w:cs="Times New Roman"/>
                <w:b/>
                <w:bCs/>
                <w:i/>
                <w:iCs/>
              </w:rPr>
            </w:pPr>
            <w:r w:rsidRPr="00A24CCD">
              <w:rPr>
                <w:rFonts w:ascii="Times New Roman" w:hAnsi="Times New Roman" w:cs="Times New Roman"/>
                <w:b/>
                <w:bCs/>
                <w:i/>
                <w:iCs/>
              </w:rPr>
              <w:t>A szakmai beszámoló hitelesítése</w:t>
            </w:r>
          </w:p>
          <w:p w:rsidR="00A24CCD" w:rsidRPr="00A24CCD" w:rsidRDefault="00A24CCD" w:rsidP="000223CC">
            <w:pPr>
              <w:ind w:left="-27"/>
              <w:rPr>
                <w:rFonts w:ascii="Times New Roman" w:hAnsi="Times New Roman" w:cs="Times New Roman"/>
                <w:bCs/>
                <w:i/>
                <w:iCs/>
              </w:rPr>
            </w:pPr>
          </w:p>
          <w:p w:rsidR="00A24CCD" w:rsidRPr="00A24CCD" w:rsidRDefault="00A24CCD" w:rsidP="000223CC">
            <w:pPr>
              <w:ind w:left="-27"/>
              <w:rPr>
                <w:rFonts w:ascii="Times New Roman" w:hAnsi="Times New Roman" w:cs="Times New Roman"/>
                <w:bCs/>
                <w:i/>
                <w:iCs/>
              </w:rPr>
            </w:pPr>
            <w:r w:rsidRPr="00A24CCD">
              <w:rPr>
                <w:rFonts w:ascii="Times New Roman" w:hAnsi="Times New Roman" w:cs="Times New Roman"/>
                <w:bCs/>
                <w:i/>
                <w:iCs/>
              </w:rPr>
              <w:t>Alulírott Közreműködő kijelentem, hogy a Szakmai beszámolóban szereplő adatok és a mellékelt dokumentumok hitelesek és a valóságnak megfelelnek.</w:t>
            </w:r>
          </w:p>
          <w:p w:rsidR="00A24CCD" w:rsidRPr="00A24CCD" w:rsidRDefault="00A24CCD" w:rsidP="000223CC">
            <w:pPr>
              <w:ind w:left="-27"/>
              <w:rPr>
                <w:rFonts w:ascii="Times New Roman" w:hAnsi="Times New Roman" w:cs="Times New Roman"/>
                <w:bCs/>
                <w:i/>
                <w:iCs/>
              </w:rPr>
            </w:pPr>
          </w:p>
          <w:p w:rsidR="00A24CCD" w:rsidRPr="00A24CCD" w:rsidRDefault="00A24CCD" w:rsidP="000223CC">
            <w:pPr>
              <w:ind w:left="-27"/>
              <w:rPr>
                <w:rFonts w:ascii="Times New Roman" w:hAnsi="Times New Roman" w:cs="Times New Roman"/>
                <w:bCs/>
                <w:i/>
                <w:iCs/>
              </w:rPr>
            </w:pPr>
          </w:p>
          <w:p w:rsidR="00A24CCD" w:rsidRPr="00A24CCD" w:rsidRDefault="00A24CCD" w:rsidP="000223CC">
            <w:pPr>
              <w:rPr>
                <w:rFonts w:ascii="Times New Roman" w:hAnsi="Times New Roman" w:cs="Times New Roman"/>
                <w:bCs/>
                <w:i/>
                <w:iCs/>
              </w:rPr>
            </w:pPr>
            <w:r>
              <w:rPr>
                <w:rFonts w:ascii="Times New Roman" w:hAnsi="Times New Roman" w:cs="Times New Roman"/>
                <w:bCs/>
                <w:i/>
                <w:iCs/>
              </w:rPr>
              <w:t>Veszprém, 2016. január 18.</w:t>
            </w:r>
          </w:p>
          <w:p w:rsidR="00A24CCD" w:rsidRPr="00A24CCD" w:rsidRDefault="00A24CCD" w:rsidP="000223CC">
            <w:pPr>
              <w:ind w:left="-27"/>
              <w:rPr>
                <w:rFonts w:ascii="Times New Roman" w:hAnsi="Times New Roman" w:cs="Times New Roman"/>
                <w:bCs/>
                <w:i/>
                <w:iCs/>
              </w:rPr>
            </w:pPr>
          </w:p>
          <w:p w:rsidR="00A24CCD" w:rsidRPr="00A24CCD" w:rsidRDefault="00A24CCD" w:rsidP="000223CC">
            <w:pPr>
              <w:ind w:left="-27"/>
              <w:rPr>
                <w:rFonts w:ascii="Times New Roman" w:hAnsi="Times New Roman" w:cs="Times New Roman"/>
                <w:bCs/>
                <w:i/>
                <w:iCs/>
              </w:rPr>
            </w:pPr>
          </w:p>
          <w:p w:rsidR="00A24CCD" w:rsidRPr="00A24CCD" w:rsidRDefault="00A24CCD" w:rsidP="000223CC">
            <w:pPr>
              <w:ind w:left="-27" w:right="186"/>
              <w:jc w:val="right"/>
              <w:rPr>
                <w:rFonts w:ascii="Times New Roman" w:hAnsi="Times New Roman" w:cs="Times New Roman"/>
                <w:bCs/>
                <w:i/>
                <w:iCs/>
              </w:rPr>
            </w:pPr>
            <w:r w:rsidRPr="00A24CCD">
              <w:rPr>
                <w:rFonts w:ascii="Times New Roman" w:hAnsi="Times New Roman" w:cs="Times New Roman"/>
                <w:bCs/>
                <w:i/>
                <w:iCs/>
              </w:rPr>
              <w:t>____________</w:t>
            </w:r>
            <w:r>
              <w:rPr>
                <w:rFonts w:ascii="Times New Roman" w:hAnsi="Times New Roman" w:cs="Times New Roman"/>
                <w:bCs/>
                <w:i/>
                <w:iCs/>
              </w:rPr>
              <w:t>_____</w:t>
            </w:r>
            <w:r w:rsidRPr="00A24CCD">
              <w:rPr>
                <w:rFonts w:ascii="Times New Roman" w:hAnsi="Times New Roman" w:cs="Times New Roman"/>
                <w:bCs/>
                <w:i/>
                <w:iCs/>
              </w:rPr>
              <w:t>_____________</w:t>
            </w:r>
          </w:p>
          <w:p w:rsidR="00A24CCD" w:rsidRPr="00A24CCD" w:rsidRDefault="00A24CCD" w:rsidP="000223CC">
            <w:pPr>
              <w:ind w:left="-27" w:right="186"/>
              <w:jc w:val="right"/>
              <w:rPr>
                <w:rFonts w:ascii="Times New Roman" w:hAnsi="Times New Roman" w:cs="Times New Roman"/>
                <w:bCs/>
                <w:i/>
                <w:iCs/>
              </w:rPr>
            </w:pPr>
            <w:r w:rsidRPr="00A24CCD">
              <w:rPr>
                <w:rFonts w:ascii="Times New Roman" w:hAnsi="Times New Roman" w:cs="Times New Roman"/>
              </w:rPr>
              <w:t>a testület elnökének cégszerű aláírása</w:t>
            </w:r>
          </w:p>
        </w:tc>
      </w:tr>
    </w:tbl>
    <w:p w:rsidR="004F75BE" w:rsidRPr="00B4787E" w:rsidRDefault="004F75BE" w:rsidP="00A24CCD">
      <w:pPr>
        <w:autoSpaceDE w:val="0"/>
        <w:autoSpaceDN w:val="0"/>
        <w:adjustRightInd w:val="0"/>
        <w:rPr>
          <w:rFonts w:ascii="Times New Roman" w:hAnsi="Times New Roman" w:cs="Times New Roman"/>
          <w:b/>
        </w:rPr>
      </w:pPr>
    </w:p>
    <w:sectPr w:rsidR="004F75BE" w:rsidRPr="00B4787E" w:rsidSect="00153388">
      <w:pgSz w:w="11906" w:h="16838"/>
      <w:pgMar w:top="1417" w:right="1417" w:bottom="1417" w:left="1417"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96F" w:rsidRDefault="0064396F" w:rsidP="00207A1C">
      <w:r>
        <w:separator/>
      </w:r>
    </w:p>
  </w:endnote>
  <w:endnote w:type="continuationSeparator" w:id="0">
    <w:p w:rsidR="0064396F" w:rsidRDefault="0064396F" w:rsidP="0020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6"/>
        <w:szCs w:val="16"/>
      </w:rPr>
      <w:id w:val="318707707"/>
      <w:docPartObj>
        <w:docPartGallery w:val="Page Numbers (Bottom of Page)"/>
        <w:docPartUnique/>
      </w:docPartObj>
    </w:sdtPr>
    <w:sdtEndPr/>
    <w:sdtContent>
      <w:sdt>
        <w:sdtPr>
          <w:rPr>
            <w:b/>
            <w:sz w:val="16"/>
            <w:szCs w:val="16"/>
          </w:rPr>
          <w:id w:val="860082579"/>
          <w:docPartObj>
            <w:docPartGallery w:val="Page Numbers (Top of Page)"/>
            <w:docPartUnique/>
          </w:docPartObj>
        </w:sdtPr>
        <w:sdtEndPr/>
        <w:sdtContent>
          <w:p w:rsidR="00F1706B" w:rsidRPr="000A1E77" w:rsidRDefault="00F1706B">
            <w:pPr>
              <w:pStyle w:val="llb"/>
              <w:jc w:val="right"/>
              <w:rPr>
                <w:b/>
                <w:sz w:val="16"/>
                <w:szCs w:val="16"/>
              </w:rPr>
            </w:pPr>
            <w:r>
              <w:rPr>
                <w:b/>
                <w:sz w:val="16"/>
                <w:szCs w:val="16"/>
              </w:rPr>
              <w:t>VEMBT b</w:t>
            </w:r>
            <w:r w:rsidRPr="000A1E77">
              <w:rPr>
                <w:b/>
                <w:sz w:val="16"/>
                <w:szCs w:val="16"/>
              </w:rPr>
              <w:t>eszámoló</w:t>
            </w:r>
            <w:r>
              <w:rPr>
                <w:b/>
                <w:sz w:val="16"/>
                <w:szCs w:val="16"/>
              </w:rPr>
              <w:t>ja</w:t>
            </w:r>
            <w:r w:rsidRPr="000A1E77">
              <w:rPr>
                <w:b/>
                <w:sz w:val="16"/>
                <w:szCs w:val="16"/>
              </w:rPr>
              <w:t xml:space="preserve"> 2015. évről</w:t>
            </w:r>
            <w:r>
              <w:rPr>
                <w:b/>
                <w:sz w:val="16"/>
                <w:szCs w:val="16"/>
              </w:rPr>
              <w:t xml:space="preserve">                                                                                                                                                                                </w:t>
            </w:r>
            <w:r w:rsidRPr="000A1E77">
              <w:rPr>
                <w:b/>
                <w:sz w:val="16"/>
                <w:szCs w:val="16"/>
              </w:rPr>
              <w:t xml:space="preserve">  </w:t>
            </w:r>
            <w:r w:rsidRPr="000A1E77">
              <w:rPr>
                <w:b/>
                <w:bCs/>
                <w:sz w:val="16"/>
                <w:szCs w:val="16"/>
              </w:rPr>
              <w:fldChar w:fldCharType="begin"/>
            </w:r>
            <w:r w:rsidRPr="000A1E77">
              <w:rPr>
                <w:b/>
                <w:bCs/>
                <w:sz w:val="16"/>
                <w:szCs w:val="16"/>
              </w:rPr>
              <w:instrText>PAGE</w:instrText>
            </w:r>
            <w:r w:rsidRPr="000A1E77">
              <w:rPr>
                <w:b/>
                <w:bCs/>
                <w:sz w:val="16"/>
                <w:szCs w:val="16"/>
              </w:rPr>
              <w:fldChar w:fldCharType="separate"/>
            </w:r>
            <w:r w:rsidR="00014FE7">
              <w:rPr>
                <w:b/>
                <w:bCs/>
                <w:noProof/>
                <w:sz w:val="16"/>
                <w:szCs w:val="16"/>
              </w:rPr>
              <w:t>2</w:t>
            </w:r>
            <w:r w:rsidRPr="000A1E77">
              <w:rPr>
                <w:b/>
                <w:bCs/>
                <w:sz w:val="16"/>
                <w:szCs w:val="16"/>
              </w:rPr>
              <w:fldChar w:fldCharType="end"/>
            </w:r>
            <w:r w:rsidRPr="000A1E77">
              <w:rPr>
                <w:b/>
                <w:sz w:val="16"/>
                <w:szCs w:val="16"/>
              </w:rPr>
              <w:t xml:space="preserve"> / </w:t>
            </w:r>
            <w:r w:rsidRPr="000A1E77">
              <w:rPr>
                <w:b/>
                <w:bCs/>
                <w:sz w:val="16"/>
                <w:szCs w:val="16"/>
              </w:rPr>
              <w:fldChar w:fldCharType="begin"/>
            </w:r>
            <w:r w:rsidRPr="000A1E77">
              <w:rPr>
                <w:b/>
                <w:bCs/>
                <w:sz w:val="16"/>
                <w:szCs w:val="16"/>
              </w:rPr>
              <w:instrText>NUMPAGES</w:instrText>
            </w:r>
            <w:r w:rsidRPr="000A1E77">
              <w:rPr>
                <w:b/>
                <w:bCs/>
                <w:sz w:val="16"/>
                <w:szCs w:val="16"/>
              </w:rPr>
              <w:fldChar w:fldCharType="separate"/>
            </w:r>
            <w:r w:rsidR="00014FE7">
              <w:rPr>
                <w:b/>
                <w:bCs/>
                <w:noProof/>
                <w:sz w:val="16"/>
                <w:szCs w:val="16"/>
              </w:rPr>
              <w:t>2</w:t>
            </w:r>
            <w:r w:rsidRPr="000A1E77">
              <w:rPr>
                <w:b/>
                <w:bCs/>
                <w:sz w:val="16"/>
                <w:szCs w:val="16"/>
              </w:rPr>
              <w:fldChar w:fldCharType="end"/>
            </w:r>
          </w:p>
        </w:sdtContent>
      </w:sdt>
    </w:sdtContent>
  </w:sdt>
  <w:p w:rsidR="00F1706B" w:rsidRDefault="00F1706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96F" w:rsidRDefault="0064396F" w:rsidP="00207A1C">
      <w:r>
        <w:separator/>
      </w:r>
    </w:p>
  </w:footnote>
  <w:footnote w:type="continuationSeparator" w:id="0">
    <w:p w:rsidR="0064396F" w:rsidRDefault="0064396F" w:rsidP="00207A1C">
      <w:r>
        <w:continuationSeparator/>
      </w:r>
    </w:p>
  </w:footnote>
  <w:footnote w:id="1">
    <w:p w:rsidR="00F1706B" w:rsidRPr="00024623" w:rsidRDefault="00F1706B" w:rsidP="00024623">
      <w:pPr>
        <w:rPr>
          <w:sz w:val="16"/>
          <w:szCs w:val="16"/>
        </w:rPr>
      </w:pPr>
      <w:r w:rsidRPr="00024623">
        <w:rPr>
          <w:sz w:val="16"/>
          <w:szCs w:val="16"/>
          <w:vertAlign w:val="superscript"/>
        </w:rPr>
        <w:footnoteRef/>
      </w:r>
      <w:r w:rsidRPr="00024623">
        <w:rPr>
          <w:sz w:val="16"/>
          <w:szCs w:val="16"/>
        </w:rPr>
        <w:t xml:space="preserve"> Beiktatta: 2015. évi CXXXVII. törvény 5. § (1). Hatályos: 2015. IX. 11-től.</w:t>
      </w:r>
    </w:p>
  </w:footnote>
  <w:footnote w:id="2">
    <w:p w:rsidR="00F1706B" w:rsidRPr="00024623" w:rsidRDefault="00F1706B" w:rsidP="00024623">
      <w:pPr>
        <w:rPr>
          <w:sz w:val="16"/>
          <w:szCs w:val="16"/>
        </w:rPr>
      </w:pPr>
      <w:r w:rsidRPr="00024623">
        <w:rPr>
          <w:sz w:val="16"/>
          <w:szCs w:val="16"/>
          <w:vertAlign w:val="superscript"/>
        </w:rPr>
        <w:footnoteRef/>
      </w:r>
      <w:r w:rsidRPr="00024623">
        <w:rPr>
          <w:sz w:val="16"/>
          <w:szCs w:val="16"/>
        </w:rPr>
        <w:t xml:space="preserve"> Beiktatta: 2012. évi LV. törvény 21. §. Hatályos: 2012. VII. 29-től.</w:t>
      </w:r>
    </w:p>
  </w:footnote>
  <w:footnote w:id="3">
    <w:p w:rsidR="00F1706B" w:rsidRPr="00105EA7" w:rsidRDefault="00F1706B" w:rsidP="00105EA7">
      <w:pPr>
        <w:rPr>
          <w:sz w:val="16"/>
          <w:szCs w:val="16"/>
        </w:rPr>
      </w:pPr>
      <w:r w:rsidRPr="00105EA7">
        <w:rPr>
          <w:sz w:val="16"/>
          <w:szCs w:val="16"/>
          <w:vertAlign w:val="superscript"/>
        </w:rPr>
        <w:footnoteRef/>
      </w:r>
      <w:r w:rsidRPr="00105EA7">
        <w:rPr>
          <w:sz w:val="16"/>
          <w:szCs w:val="16"/>
        </w:rPr>
        <w:t xml:space="preserve"> Beiktatta: 2015. évi CXXXVII. törvény 5. § (1). Hatályos: 2015. IX. 11-től.</w:t>
      </w:r>
    </w:p>
  </w:footnote>
  <w:footnote w:id="4">
    <w:p w:rsidR="00F1706B" w:rsidRPr="00105EA7" w:rsidRDefault="00F1706B" w:rsidP="00105EA7">
      <w:pPr>
        <w:rPr>
          <w:sz w:val="16"/>
          <w:szCs w:val="16"/>
        </w:rPr>
      </w:pPr>
      <w:r w:rsidRPr="00105EA7">
        <w:rPr>
          <w:sz w:val="16"/>
          <w:szCs w:val="16"/>
          <w:vertAlign w:val="superscript"/>
        </w:rPr>
        <w:footnoteRef/>
      </w:r>
      <w:r w:rsidRPr="00105EA7">
        <w:rPr>
          <w:sz w:val="16"/>
          <w:szCs w:val="16"/>
        </w:rPr>
        <w:t xml:space="preserve"> Az utolsó mondatot beiktatta: 2012. évi LV. törvény 18. § (3). Hatályos: 2012. VII. 29-től.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97A9F"/>
    <w:multiLevelType w:val="hybridMultilevel"/>
    <w:tmpl w:val="CD4E9D4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9553082"/>
    <w:multiLevelType w:val="hybridMultilevel"/>
    <w:tmpl w:val="3AA0732A"/>
    <w:lvl w:ilvl="0" w:tplc="D4A69240">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F5D20D7"/>
    <w:multiLevelType w:val="hybridMultilevel"/>
    <w:tmpl w:val="32DC7A1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3235702"/>
    <w:multiLevelType w:val="hybridMultilevel"/>
    <w:tmpl w:val="3780B6C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0654FCC"/>
    <w:multiLevelType w:val="hybridMultilevel"/>
    <w:tmpl w:val="7F46159A"/>
    <w:lvl w:ilvl="0" w:tplc="197E60D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62858C9"/>
    <w:multiLevelType w:val="hybridMultilevel"/>
    <w:tmpl w:val="DFDCAD42"/>
    <w:lvl w:ilvl="0" w:tplc="197E60D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1B20420"/>
    <w:multiLevelType w:val="hybridMultilevel"/>
    <w:tmpl w:val="BB8C5A2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nsid w:val="430142CC"/>
    <w:multiLevelType w:val="hybridMultilevel"/>
    <w:tmpl w:val="7494EEA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53DA1F63"/>
    <w:multiLevelType w:val="hybridMultilevel"/>
    <w:tmpl w:val="0E54F0B2"/>
    <w:lvl w:ilvl="0" w:tplc="197E60D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nsid w:val="5A751120"/>
    <w:multiLevelType w:val="hybridMultilevel"/>
    <w:tmpl w:val="440E253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65082CCA"/>
    <w:multiLevelType w:val="hybridMultilevel"/>
    <w:tmpl w:val="32DC7A1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9CC68C3"/>
    <w:multiLevelType w:val="hybridMultilevel"/>
    <w:tmpl w:val="561E5388"/>
    <w:lvl w:ilvl="0" w:tplc="76505736">
      <w:start w:val="1"/>
      <w:numFmt w:val="lowerLetter"/>
      <w:lvlText w:val="%1)"/>
      <w:lvlJc w:val="left"/>
      <w:pPr>
        <w:ind w:left="432" w:hanging="360"/>
      </w:pPr>
      <w:rPr>
        <w:rFonts w:hint="default"/>
        <w:b/>
        <w:i/>
        <w:sz w:val="22"/>
      </w:rPr>
    </w:lvl>
    <w:lvl w:ilvl="1" w:tplc="040E0019" w:tentative="1">
      <w:start w:val="1"/>
      <w:numFmt w:val="lowerLetter"/>
      <w:lvlText w:val="%2."/>
      <w:lvlJc w:val="left"/>
      <w:pPr>
        <w:ind w:left="1152" w:hanging="360"/>
      </w:pPr>
    </w:lvl>
    <w:lvl w:ilvl="2" w:tplc="040E001B" w:tentative="1">
      <w:start w:val="1"/>
      <w:numFmt w:val="lowerRoman"/>
      <w:lvlText w:val="%3."/>
      <w:lvlJc w:val="right"/>
      <w:pPr>
        <w:ind w:left="1872" w:hanging="180"/>
      </w:pPr>
    </w:lvl>
    <w:lvl w:ilvl="3" w:tplc="040E000F" w:tentative="1">
      <w:start w:val="1"/>
      <w:numFmt w:val="decimal"/>
      <w:lvlText w:val="%4."/>
      <w:lvlJc w:val="left"/>
      <w:pPr>
        <w:ind w:left="2592" w:hanging="360"/>
      </w:pPr>
    </w:lvl>
    <w:lvl w:ilvl="4" w:tplc="040E0019" w:tentative="1">
      <w:start w:val="1"/>
      <w:numFmt w:val="lowerLetter"/>
      <w:lvlText w:val="%5."/>
      <w:lvlJc w:val="left"/>
      <w:pPr>
        <w:ind w:left="3312" w:hanging="360"/>
      </w:pPr>
    </w:lvl>
    <w:lvl w:ilvl="5" w:tplc="040E001B" w:tentative="1">
      <w:start w:val="1"/>
      <w:numFmt w:val="lowerRoman"/>
      <w:lvlText w:val="%6."/>
      <w:lvlJc w:val="right"/>
      <w:pPr>
        <w:ind w:left="4032" w:hanging="180"/>
      </w:pPr>
    </w:lvl>
    <w:lvl w:ilvl="6" w:tplc="040E000F" w:tentative="1">
      <w:start w:val="1"/>
      <w:numFmt w:val="decimal"/>
      <w:lvlText w:val="%7."/>
      <w:lvlJc w:val="left"/>
      <w:pPr>
        <w:ind w:left="4752" w:hanging="360"/>
      </w:pPr>
    </w:lvl>
    <w:lvl w:ilvl="7" w:tplc="040E0019" w:tentative="1">
      <w:start w:val="1"/>
      <w:numFmt w:val="lowerLetter"/>
      <w:lvlText w:val="%8."/>
      <w:lvlJc w:val="left"/>
      <w:pPr>
        <w:ind w:left="5472" w:hanging="360"/>
      </w:pPr>
    </w:lvl>
    <w:lvl w:ilvl="8" w:tplc="040E001B" w:tentative="1">
      <w:start w:val="1"/>
      <w:numFmt w:val="lowerRoman"/>
      <w:lvlText w:val="%9."/>
      <w:lvlJc w:val="right"/>
      <w:pPr>
        <w:ind w:left="6192" w:hanging="180"/>
      </w:pPr>
    </w:lvl>
  </w:abstractNum>
  <w:num w:numId="1">
    <w:abstractNumId w:val="6"/>
  </w:num>
  <w:num w:numId="2">
    <w:abstractNumId w:val="2"/>
  </w:num>
  <w:num w:numId="3">
    <w:abstractNumId w:val="10"/>
  </w:num>
  <w:num w:numId="4">
    <w:abstractNumId w:val="9"/>
  </w:num>
  <w:num w:numId="5">
    <w:abstractNumId w:val="3"/>
  </w:num>
  <w:num w:numId="6">
    <w:abstractNumId w:val="7"/>
  </w:num>
  <w:num w:numId="7">
    <w:abstractNumId w:val="8"/>
  </w:num>
  <w:num w:numId="8">
    <w:abstractNumId w:val="4"/>
  </w:num>
  <w:num w:numId="9">
    <w:abstractNumId w:val="5"/>
  </w:num>
  <w:num w:numId="10">
    <w:abstractNumId w:val="11"/>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422"/>
    <w:rsid w:val="0000204A"/>
    <w:rsid w:val="00002898"/>
    <w:rsid w:val="00014FE7"/>
    <w:rsid w:val="00024623"/>
    <w:rsid w:val="0004762E"/>
    <w:rsid w:val="000572FF"/>
    <w:rsid w:val="00071C0D"/>
    <w:rsid w:val="000A1E77"/>
    <w:rsid w:val="000D4F5B"/>
    <w:rsid w:val="000D5EBA"/>
    <w:rsid w:val="000F2D52"/>
    <w:rsid w:val="00105EA7"/>
    <w:rsid w:val="0013508A"/>
    <w:rsid w:val="00153388"/>
    <w:rsid w:val="00153496"/>
    <w:rsid w:val="0018257E"/>
    <w:rsid w:val="001A43A1"/>
    <w:rsid w:val="001A68C6"/>
    <w:rsid w:val="00205E03"/>
    <w:rsid w:val="00207A1C"/>
    <w:rsid w:val="00232A6C"/>
    <w:rsid w:val="00232C9F"/>
    <w:rsid w:val="00247865"/>
    <w:rsid w:val="002645ED"/>
    <w:rsid w:val="00275254"/>
    <w:rsid w:val="002B5645"/>
    <w:rsid w:val="002E75E0"/>
    <w:rsid w:val="00313888"/>
    <w:rsid w:val="003204BD"/>
    <w:rsid w:val="00332CC3"/>
    <w:rsid w:val="00337A85"/>
    <w:rsid w:val="003665B7"/>
    <w:rsid w:val="003728EC"/>
    <w:rsid w:val="0038017A"/>
    <w:rsid w:val="0038131C"/>
    <w:rsid w:val="003A7680"/>
    <w:rsid w:val="003D0D39"/>
    <w:rsid w:val="004039D4"/>
    <w:rsid w:val="004312C4"/>
    <w:rsid w:val="004540B1"/>
    <w:rsid w:val="00467D7A"/>
    <w:rsid w:val="004718FA"/>
    <w:rsid w:val="00475A31"/>
    <w:rsid w:val="00490493"/>
    <w:rsid w:val="004B60A4"/>
    <w:rsid w:val="004C321B"/>
    <w:rsid w:val="004D3770"/>
    <w:rsid w:val="004F75BE"/>
    <w:rsid w:val="00510CBB"/>
    <w:rsid w:val="005429CB"/>
    <w:rsid w:val="005A3EEC"/>
    <w:rsid w:val="005C0133"/>
    <w:rsid w:val="006215B6"/>
    <w:rsid w:val="006418B7"/>
    <w:rsid w:val="0064396F"/>
    <w:rsid w:val="0065581B"/>
    <w:rsid w:val="00661599"/>
    <w:rsid w:val="006A6D9F"/>
    <w:rsid w:val="006B539C"/>
    <w:rsid w:val="006B64CB"/>
    <w:rsid w:val="006E0817"/>
    <w:rsid w:val="00705668"/>
    <w:rsid w:val="0071273A"/>
    <w:rsid w:val="00721615"/>
    <w:rsid w:val="00726648"/>
    <w:rsid w:val="00727664"/>
    <w:rsid w:val="00771CA1"/>
    <w:rsid w:val="00774F9C"/>
    <w:rsid w:val="007C1922"/>
    <w:rsid w:val="007E42E0"/>
    <w:rsid w:val="007F54B5"/>
    <w:rsid w:val="008016FB"/>
    <w:rsid w:val="00803BF0"/>
    <w:rsid w:val="00817F7E"/>
    <w:rsid w:val="00830E45"/>
    <w:rsid w:val="008660DB"/>
    <w:rsid w:val="00892B84"/>
    <w:rsid w:val="008B1AF7"/>
    <w:rsid w:val="008C5D07"/>
    <w:rsid w:val="008D4C11"/>
    <w:rsid w:val="009072E4"/>
    <w:rsid w:val="009169DF"/>
    <w:rsid w:val="00920ADB"/>
    <w:rsid w:val="009240EC"/>
    <w:rsid w:val="009261E5"/>
    <w:rsid w:val="00970997"/>
    <w:rsid w:val="0098327B"/>
    <w:rsid w:val="00992E16"/>
    <w:rsid w:val="00996C0A"/>
    <w:rsid w:val="009A4F0F"/>
    <w:rsid w:val="009B38F0"/>
    <w:rsid w:val="009C5749"/>
    <w:rsid w:val="009F49DE"/>
    <w:rsid w:val="00A151DE"/>
    <w:rsid w:val="00A23BAA"/>
    <w:rsid w:val="00A24CCD"/>
    <w:rsid w:val="00A32839"/>
    <w:rsid w:val="00A62422"/>
    <w:rsid w:val="00A816CD"/>
    <w:rsid w:val="00A839E2"/>
    <w:rsid w:val="00A962B5"/>
    <w:rsid w:val="00AC79B5"/>
    <w:rsid w:val="00AC7DBD"/>
    <w:rsid w:val="00B266B7"/>
    <w:rsid w:val="00B419FC"/>
    <w:rsid w:val="00B4787E"/>
    <w:rsid w:val="00BB1F8C"/>
    <w:rsid w:val="00BC11C3"/>
    <w:rsid w:val="00BF3D6F"/>
    <w:rsid w:val="00C2456F"/>
    <w:rsid w:val="00C51826"/>
    <w:rsid w:val="00C51E08"/>
    <w:rsid w:val="00C64275"/>
    <w:rsid w:val="00C83AE4"/>
    <w:rsid w:val="00C84A46"/>
    <w:rsid w:val="00CB1CA9"/>
    <w:rsid w:val="00CB4389"/>
    <w:rsid w:val="00CE386D"/>
    <w:rsid w:val="00D52B43"/>
    <w:rsid w:val="00D75049"/>
    <w:rsid w:val="00DA42D5"/>
    <w:rsid w:val="00E2166E"/>
    <w:rsid w:val="00E23225"/>
    <w:rsid w:val="00E32221"/>
    <w:rsid w:val="00E50881"/>
    <w:rsid w:val="00E6139A"/>
    <w:rsid w:val="00E72662"/>
    <w:rsid w:val="00ED1737"/>
    <w:rsid w:val="00ED25AB"/>
    <w:rsid w:val="00EF4CD2"/>
    <w:rsid w:val="00F10829"/>
    <w:rsid w:val="00F118EA"/>
    <w:rsid w:val="00F11A5F"/>
    <w:rsid w:val="00F1706B"/>
    <w:rsid w:val="00F46092"/>
    <w:rsid w:val="00F56929"/>
    <w:rsid w:val="00F73A3B"/>
    <w:rsid w:val="00F7480F"/>
    <w:rsid w:val="00FF0FE5"/>
    <w:rsid w:val="00FF46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ajorBidi"/>
        <w:sz w:val="24"/>
        <w:szCs w:val="24"/>
        <w:lang w:val="hu-H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F56929"/>
    <w:pPr>
      <w:spacing w:before="100" w:beforeAutospacing="1" w:after="119"/>
      <w:jc w:val="left"/>
    </w:pPr>
    <w:rPr>
      <w:rFonts w:ascii="Times New Roman" w:eastAsia="Times New Roman" w:hAnsi="Times New Roman" w:cs="Times New Roman"/>
      <w:lang w:eastAsia="hu-HU"/>
    </w:rPr>
  </w:style>
  <w:style w:type="paragraph" w:styleId="Listaszerbekezds">
    <w:name w:val="List Paragraph"/>
    <w:basedOn w:val="Norml"/>
    <w:uiPriority w:val="34"/>
    <w:qFormat/>
    <w:rsid w:val="003D0D39"/>
    <w:pPr>
      <w:ind w:left="720"/>
      <w:contextualSpacing/>
    </w:pPr>
  </w:style>
  <w:style w:type="table" w:styleId="Rcsostblzat">
    <w:name w:val="Table Grid"/>
    <w:basedOn w:val="Normltblzat"/>
    <w:uiPriority w:val="59"/>
    <w:rsid w:val="00313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830E45"/>
    <w:rPr>
      <w:rFonts w:ascii="Tahoma" w:hAnsi="Tahoma" w:cs="Tahoma"/>
      <w:sz w:val="16"/>
      <w:szCs w:val="16"/>
    </w:rPr>
  </w:style>
  <w:style w:type="character" w:customStyle="1" w:styleId="BuborkszvegChar">
    <w:name w:val="Buborékszöveg Char"/>
    <w:basedOn w:val="Bekezdsalapbettpusa"/>
    <w:link w:val="Buborkszveg"/>
    <w:uiPriority w:val="99"/>
    <w:semiHidden/>
    <w:rsid w:val="00830E45"/>
    <w:rPr>
      <w:rFonts w:ascii="Tahoma" w:hAnsi="Tahoma" w:cs="Tahoma"/>
      <w:sz w:val="16"/>
      <w:szCs w:val="16"/>
    </w:rPr>
  </w:style>
  <w:style w:type="character" w:styleId="Hiperhivatkozs">
    <w:name w:val="Hyperlink"/>
    <w:basedOn w:val="Bekezdsalapbettpusa"/>
    <w:uiPriority w:val="99"/>
    <w:unhideWhenUsed/>
    <w:rsid w:val="009240EC"/>
    <w:rPr>
      <w:color w:val="0000FF" w:themeColor="hyperlink"/>
      <w:u w:val="single"/>
    </w:rPr>
  </w:style>
  <w:style w:type="paragraph" w:styleId="lfej">
    <w:name w:val="header"/>
    <w:basedOn w:val="Norml"/>
    <w:link w:val="lfejChar"/>
    <w:uiPriority w:val="99"/>
    <w:unhideWhenUsed/>
    <w:rsid w:val="000A1E77"/>
    <w:pPr>
      <w:tabs>
        <w:tab w:val="center" w:pos="4536"/>
        <w:tab w:val="right" w:pos="9072"/>
      </w:tabs>
    </w:pPr>
  </w:style>
  <w:style w:type="character" w:customStyle="1" w:styleId="lfejChar">
    <w:name w:val="Élőfej Char"/>
    <w:basedOn w:val="Bekezdsalapbettpusa"/>
    <w:link w:val="lfej"/>
    <w:uiPriority w:val="99"/>
    <w:rsid w:val="000A1E77"/>
  </w:style>
  <w:style w:type="paragraph" w:styleId="llb">
    <w:name w:val="footer"/>
    <w:basedOn w:val="Norml"/>
    <w:link w:val="llbChar"/>
    <w:uiPriority w:val="99"/>
    <w:unhideWhenUsed/>
    <w:rsid w:val="000A1E77"/>
    <w:pPr>
      <w:tabs>
        <w:tab w:val="center" w:pos="4536"/>
        <w:tab w:val="right" w:pos="9072"/>
      </w:tabs>
    </w:pPr>
  </w:style>
  <w:style w:type="character" w:customStyle="1" w:styleId="llbChar">
    <w:name w:val="Élőláb Char"/>
    <w:basedOn w:val="Bekezdsalapbettpusa"/>
    <w:link w:val="llb"/>
    <w:uiPriority w:val="99"/>
    <w:rsid w:val="000A1E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ajorBidi"/>
        <w:sz w:val="24"/>
        <w:szCs w:val="24"/>
        <w:lang w:val="hu-H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F56929"/>
    <w:pPr>
      <w:spacing w:before="100" w:beforeAutospacing="1" w:after="119"/>
      <w:jc w:val="left"/>
    </w:pPr>
    <w:rPr>
      <w:rFonts w:ascii="Times New Roman" w:eastAsia="Times New Roman" w:hAnsi="Times New Roman" w:cs="Times New Roman"/>
      <w:lang w:eastAsia="hu-HU"/>
    </w:rPr>
  </w:style>
  <w:style w:type="paragraph" w:styleId="Listaszerbekezds">
    <w:name w:val="List Paragraph"/>
    <w:basedOn w:val="Norml"/>
    <w:uiPriority w:val="34"/>
    <w:qFormat/>
    <w:rsid w:val="003D0D39"/>
    <w:pPr>
      <w:ind w:left="720"/>
      <w:contextualSpacing/>
    </w:pPr>
  </w:style>
  <w:style w:type="table" w:styleId="Rcsostblzat">
    <w:name w:val="Table Grid"/>
    <w:basedOn w:val="Normltblzat"/>
    <w:uiPriority w:val="59"/>
    <w:rsid w:val="00313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830E45"/>
    <w:rPr>
      <w:rFonts w:ascii="Tahoma" w:hAnsi="Tahoma" w:cs="Tahoma"/>
      <w:sz w:val="16"/>
      <w:szCs w:val="16"/>
    </w:rPr>
  </w:style>
  <w:style w:type="character" w:customStyle="1" w:styleId="BuborkszvegChar">
    <w:name w:val="Buborékszöveg Char"/>
    <w:basedOn w:val="Bekezdsalapbettpusa"/>
    <w:link w:val="Buborkszveg"/>
    <w:uiPriority w:val="99"/>
    <w:semiHidden/>
    <w:rsid w:val="00830E45"/>
    <w:rPr>
      <w:rFonts w:ascii="Tahoma" w:hAnsi="Tahoma" w:cs="Tahoma"/>
      <w:sz w:val="16"/>
      <w:szCs w:val="16"/>
    </w:rPr>
  </w:style>
  <w:style w:type="character" w:styleId="Hiperhivatkozs">
    <w:name w:val="Hyperlink"/>
    <w:basedOn w:val="Bekezdsalapbettpusa"/>
    <w:uiPriority w:val="99"/>
    <w:unhideWhenUsed/>
    <w:rsid w:val="009240EC"/>
    <w:rPr>
      <w:color w:val="0000FF" w:themeColor="hyperlink"/>
      <w:u w:val="single"/>
    </w:rPr>
  </w:style>
  <w:style w:type="paragraph" w:styleId="lfej">
    <w:name w:val="header"/>
    <w:basedOn w:val="Norml"/>
    <w:link w:val="lfejChar"/>
    <w:uiPriority w:val="99"/>
    <w:unhideWhenUsed/>
    <w:rsid w:val="000A1E77"/>
    <w:pPr>
      <w:tabs>
        <w:tab w:val="center" w:pos="4536"/>
        <w:tab w:val="right" w:pos="9072"/>
      </w:tabs>
    </w:pPr>
  </w:style>
  <w:style w:type="character" w:customStyle="1" w:styleId="lfejChar">
    <w:name w:val="Élőfej Char"/>
    <w:basedOn w:val="Bekezdsalapbettpusa"/>
    <w:link w:val="lfej"/>
    <w:uiPriority w:val="99"/>
    <w:rsid w:val="000A1E77"/>
  </w:style>
  <w:style w:type="paragraph" w:styleId="llb">
    <w:name w:val="footer"/>
    <w:basedOn w:val="Norml"/>
    <w:link w:val="llbChar"/>
    <w:uiPriority w:val="99"/>
    <w:unhideWhenUsed/>
    <w:rsid w:val="000A1E77"/>
    <w:pPr>
      <w:tabs>
        <w:tab w:val="center" w:pos="4536"/>
        <w:tab w:val="right" w:pos="9072"/>
      </w:tabs>
    </w:pPr>
  </w:style>
  <w:style w:type="character" w:customStyle="1" w:styleId="llbChar">
    <w:name w:val="Élőláb Char"/>
    <w:basedOn w:val="Bekezdsalapbettpusa"/>
    <w:link w:val="llb"/>
    <w:uiPriority w:val="99"/>
    <w:rsid w:val="000A1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veol.hu/veszprem/nem-inzultalnak-vallalkozasbarat-fogyasztovedelem-171186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eszpremtv.hu/hir/allamtitkar_helyettesi_latogatas-n6457.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eszport.hu/tartalom/cikk/veszprem_megyei_bekelteto_testulet_koszorus_laszl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embers.upc.hu/veszpremmegyeikereskedelmies.iparkamara/Keszthenyi_N_fotok.zip" TargetMode="External"/><Relationship Id="rId4" Type="http://schemas.openxmlformats.org/officeDocument/2006/relationships/settings" Target="settings.xml"/><Relationship Id="rId9" Type="http://schemas.openxmlformats.org/officeDocument/2006/relationships/hyperlink" Target="https://picasaweb.google.com/veszpremikamara/BekeltetoTestuletSajtotajekoztatoVeszprem" TargetMode="External"/><Relationship Id="rId14" Type="http://schemas.openxmlformats.org/officeDocument/2006/relationships/hyperlink" Target="http://www.vehir.hu/cikk/30802-a-birosagok-munkajat-konnyiti-a-bekelteto-testule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9784</Words>
  <Characters>67515</Characters>
  <Application>Microsoft Office Word</Application>
  <DocSecurity>0</DocSecurity>
  <Lines>562</Lines>
  <Paragraphs>154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Vasvári Csaba</dc:creator>
  <cp:lastModifiedBy>Somogyi Laura</cp:lastModifiedBy>
  <cp:revision>2</cp:revision>
  <cp:lastPrinted>2016-02-01T09:42:00Z</cp:lastPrinted>
  <dcterms:created xsi:type="dcterms:W3CDTF">2016-07-12T06:45:00Z</dcterms:created>
  <dcterms:modified xsi:type="dcterms:W3CDTF">2016-07-12T06:45:00Z</dcterms:modified>
</cp:coreProperties>
</file>